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F789" w14:textId="45E2A741" w:rsidR="006A7A4A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="00263CCA" w:rsidRPr="00263CCA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桐乡市恒生动物生物处理厂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0A0C2955" w14:textId="77777777" w:rsidR="00E06557" w:rsidRDefault="00E06557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E06557">
        <w:rPr>
          <w:rFonts w:ascii="Times New Roman" w:eastAsia="宋体" w:hAnsi="Times New Roman" w:cs="Times New Roman" w:hint="eastAsia"/>
          <w:sz w:val="30"/>
          <w:szCs w:val="30"/>
        </w:rPr>
        <w:t>桐乡市恒生病死动物无害化生物处理中心项目</w:t>
      </w:r>
    </w:p>
    <w:p w14:paraId="6CB4007C" w14:textId="531C91A4" w:rsidR="006A7A4A" w:rsidRPr="00F27F32" w:rsidRDefault="006A7A4A" w:rsidP="006A7A4A">
      <w:pPr>
        <w:jc w:val="center"/>
        <w:rPr>
          <w:rFonts w:ascii="Times New Roman" w:eastAsia="宋体" w:hAnsi="Times New Roman" w:cs="Times New Roman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t>建设项目竣工环境保护（固废部分）验收意见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68BF7C0B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263CCA">
        <w:rPr>
          <w:rFonts w:ascii="Times New Roman" w:eastAsia="宋体" w:hAnsi="Times New Roman" w:cs="Times New Roman"/>
          <w:sz w:val="24"/>
          <w:szCs w:val="24"/>
        </w:rPr>
        <w:t>桐乡市恒生动物生物处理厂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国环规环评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等有关法规，并经现场检查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研究，形成公司环境保护设施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固废部分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21F750B1" w14:textId="08215F66" w:rsidR="00263CCA" w:rsidRPr="00263CCA" w:rsidRDefault="006A7A4A" w:rsidP="00263CC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一、</w:t>
      </w:r>
      <w:r w:rsidR="00263CCA" w:rsidRPr="00263CCA">
        <w:rPr>
          <w:rFonts w:ascii="Times New Roman" w:eastAsia="宋体" w:hAnsi="Times New Roman" w:cs="Times New Roman" w:hint="eastAsia"/>
          <w:sz w:val="24"/>
          <w:szCs w:val="24"/>
        </w:rPr>
        <w:t>桐乡恒生动物生物处理厂成立于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2014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年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2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月</w:t>
      </w:r>
      <w:r w:rsidR="00CC53C6" w:rsidRPr="00263C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位于石门镇春丽桥村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,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征用位于桐乡市石门镇春丽桥村环境设施用地约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10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亩建设桐乡市病死动物无害化生物处理中心项目。</w:t>
      </w:r>
      <w:r w:rsidR="00263CCA" w:rsidRPr="00263CCA">
        <w:rPr>
          <w:rFonts w:ascii="Times New Roman" w:eastAsia="宋体" w:hAnsi="Times New Roman" w:cs="Times New Roman" w:hint="eastAsia"/>
          <w:sz w:val="24"/>
          <w:szCs w:val="24"/>
        </w:rPr>
        <w:t>公司于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2014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年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9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月委托浙江大学编制完成了《桐乡市恒生病死动物无害化生物处理中心项目环境影响报告书》，桐乡市环境保护局以桐环建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[2014]311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号予以批复。</w:t>
      </w:r>
      <w:r w:rsidR="00E655E6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总建筑面积约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3240m</w:t>
      </w:r>
      <w:r w:rsidR="00263CCA" w:rsidRPr="00263CCA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，总投资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1020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万元，其中环保投资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152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万元，环保投资比例为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14.90%</w:t>
      </w:r>
      <w:r w:rsidR="00E655E6" w:rsidRPr="00263C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采用自行设计的病死动物无害化生物处理工艺及设备</w:t>
      </w:r>
      <w:r w:rsidR="00263CCA" w:rsidRPr="00263C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日处理病死动物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20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吨</w:t>
      </w:r>
      <w:r w:rsidR="00E655E6" w:rsidRPr="00263CCA">
        <w:rPr>
          <w:rFonts w:ascii="Times New Roman" w:eastAsia="宋体" w:hAnsi="Times New Roman" w:cs="Times New Roman" w:hint="eastAsia"/>
          <w:sz w:val="24"/>
          <w:szCs w:val="24"/>
        </w:rPr>
        <w:t>，年产鲜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蛆、干蛆、有机肥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7233</w:t>
      </w:r>
      <w:r w:rsidR="00263CCA" w:rsidRPr="00263CCA">
        <w:rPr>
          <w:rFonts w:ascii="Times New Roman" w:eastAsia="宋体" w:hAnsi="Times New Roman" w:cs="Times New Roman"/>
          <w:sz w:val="24"/>
          <w:szCs w:val="24"/>
        </w:rPr>
        <w:t>吨。</w:t>
      </w:r>
    </w:p>
    <w:p w14:paraId="6202A2BA" w14:textId="354F7FB2" w:rsidR="006A7A4A" w:rsidRPr="00E655E6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二、本项目固体废弃物</w:t>
      </w:r>
      <w:r w:rsidR="00E655E6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生活垃圾</w:t>
      </w:r>
      <w:r w:rsidRPr="00F27F32">
        <w:rPr>
          <w:rFonts w:ascii="Times New Roman" w:eastAsia="宋体" w:hAnsi="Times New Roman" w:cs="Times New Roman"/>
          <w:sz w:val="24"/>
          <w:szCs w:val="24"/>
        </w:rPr>
        <w:t>。</w:t>
      </w:r>
      <w:r w:rsidR="00E655E6" w:rsidRPr="00E655E6">
        <w:rPr>
          <w:rFonts w:ascii="Times New Roman" w:eastAsia="宋体" w:hAnsi="Times New Roman" w:cs="Times New Roman" w:hint="eastAsia"/>
          <w:sz w:val="24"/>
          <w:szCs w:val="24"/>
        </w:rPr>
        <w:t>生活垃圾委托桐乡维创物业管理有限公司每日清运</w:t>
      </w:r>
      <w:r w:rsidR="005F3DDE" w:rsidRPr="00E655E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A299AD4" w14:textId="2D0E6F0A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三、项目基本落实了环评及批复关于固废污染的防治设施，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认为该项目已经具备竣工环境保护（固废部分）验收条件，同意通过竣工验收。</w:t>
      </w:r>
    </w:p>
    <w:p w14:paraId="04FFEDFB" w14:textId="5A177299" w:rsid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四、项目投运后，公司将严格按照国家的相关规定分质分类妥善处置固废，防止产生二次污染。</w:t>
      </w:r>
    </w:p>
    <w:p w14:paraId="50943C23" w14:textId="5B83FFA6" w:rsidR="00CC53C6" w:rsidRDefault="00CC53C6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验收</w:t>
      </w:r>
      <w:r w:rsidR="00E06557">
        <w:rPr>
          <w:rFonts w:ascii="Times New Roman" w:eastAsia="宋体" w:hAnsi="Times New Roman" w:cs="Times New Roman" w:hint="eastAsia"/>
          <w:sz w:val="24"/>
          <w:szCs w:val="24"/>
        </w:rPr>
        <w:t>组成员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40"/>
        <w:gridCol w:w="1699"/>
        <w:gridCol w:w="3229"/>
        <w:gridCol w:w="1528"/>
      </w:tblGrid>
      <w:tr w:rsidR="00E06557" w14:paraId="35E9EE67" w14:textId="77777777" w:rsidTr="00E06557">
        <w:trPr>
          <w:jc w:val="center"/>
        </w:trPr>
        <w:tc>
          <w:tcPr>
            <w:tcW w:w="1109" w:type="pct"/>
            <w:vAlign w:val="center"/>
          </w:tcPr>
          <w:p w14:paraId="1545A271" w14:textId="2537F8BC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验收组</w:t>
            </w:r>
          </w:p>
        </w:tc>
        <w:tc>
          <w:tcPr>
            <w:tcW w:w="1024" w:type="pct"/>
            <w:vAlign w:val="center"/>
          </w:tcPr>
          <w:p w14:paraId="2B758106" w14:textId="6A26FBF9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46" w:type="pct"/>
            <w:vAlign w:val="center"/>
          </w:tcPr>
          <w:p w14:paraId="55E390F4" w14:textId="750CBBEF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921" w:type="pct"/>
            <w:vAlign w:val="center"/>
          </w:tcPr>
          <w:p w14:paraId="163CCF50" w14:textId="0492A5BB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06557" w14:paraId="3DB4D932" w14:textId="77777777" w:rsidTr="00E06557">
        <w:trPr>
          <w:jc w:val="center"/>
        </w:trPr>
        <w:tc>
          <w:tcPr>
            <w:tcW w:w="1109" w:type="pct"/>
            <w:vAlign w:val="center"/>
          </w:tcPr>
          <w:p w14:paraId="6A6BC40D" w14:textId="22D89709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验收负责人</w:t>
            </w:r>
          </w:p>
        </w:tc>
        <w:tc>
          <w:tcPr>
            <w:tcW w:w="1024" w:type="pct"/>
            <w:vAlign w:val="center"/>
          </w:tcPr>
          <w:p w14:paraId="434D105F" w14:textId="77777777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vAlign w:val="center"/>
          </w:tcPr>
          <w:p w14:paraId="7E79EAB1" w14:textId="1D663505" w:rsidR="00E06557" w:rsidRP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65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桐乡市恒生动物生物处理厂</w:t>
            </w:r>
          </w:p>
        </w:tc>
        <w:tc>
          <w:tcPr>
            <w:tcW w:w="921" w:type="pct"/>
            <w:vAlign w:val="center"/>
          </w:tcPr>
          <w:p w14:paraId="262D94DE" w14:textId="65CC0331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建设单位</w:t>
            </w:r>
          </w:p>
        </w:tc>
      </w:tr>
      <w:tr w:rsidR="00E06557" w14:paraId="70930653" w14:textId="77777777" w:rsidTr="00E06557">
        <w:trPr>
          <w:jc w:val="center"/>
        </w:trPr>
        <w:tc>
          <w:tcPr>
            <w:tcW w:w="1109" w:type="pct"/>
            <w:vMerge w:val="restart"/>
            <w:vAlign w:val="center"/>
          </w:tcPr>
          <w:p w14:paraId="5DFD371E" w14:textId="21DA8443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验收组</w:t>
            </w:r>
          </w:p>
        </w:tc>
        <w:tc>
          <w:tcPr>
            <w:tcW w:w="1024" w:type="pct"/>
            <w:vAlign w:val="center"/>
          </w:tcPr>
          <w:p w14:paraId="56385F93" w14:textId="77777777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vAlign w:val="center"/>
          </w:tcPr>
          <w:p w14:paraId="4BB776E6" w14:textId="2EFA9588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65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桐乡市恒生动物生物处理厂</w:t>
            </w:r>
          </w:p>
        </w:tc>
        <w:tc>
          <w:tcPr>
            <w:tcW w:w="921" w:type="pct"/>
            <w:vAlign w:val="center"/>
          </w:tcPr>
          <w:p w14:paraId="58592FFE" w14:textId="519CE7F5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建设单位</w:t>
            </w:r>
          </w:p>
        </w:tc>
      </w:tr>
      <w:tr w:rsidR="00E06557" w14:paraId="3A760A9F" w14:textId="77777777" w:rsidTr="00E06557">
        <w:trPr>
          <w:jc w:val="center"/>
        </w:trPr>
        <w:tc>
          <w:tcPr>
            <w:tcW w:w="1109" w:type="pct"/>
            <w:vMerge/>
            <w:vAlign w:val="center"/>
          </w:tcPr>
          <w:p w14:paraId="5366A34D" w14:textId="77777777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14:paraId="23939246" w14:textId="77777777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vAlign w:val="center"/>
          </w:tcPr>
          <w:p w14:paraId="6F5F3DFA" w14:textId="7C153B0E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浙江大学</w:t>
            </w:r>
          </w:p>
        </w:tc>
        <w:tc>
          <w:tcPr>
            <w:tcW w:w="921" w:type="pct"/>
            <w:vAlign w:val="center"/>
          </w:tcPr>
          <w:p w14:paraId="33D982A7" w14:textId="1AA426A5" w:rsidR="00E06557" w:rsidRDefault="00E06557" w:rsidP="00E06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环评单位</w:t>
            </w:r>
          </w:p>
        </w:tc>
      </w:tr>
    </w:tbl>
    <w:p w14:paraId="063528BB" w14:textId="38EA0E80" w:rsidR="006A7A4A" w:rsidRPr="00F27F32" w:rsidRDefault="00263CCA" w:rsidP="00F27F32">
      <w:pPr>
        <w:spacing w:line="360" w:lineRule="auto"/>
        <w:ind w:firstLineChars="2100" w:firstLine="506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63CCA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桐乡市恒生动物生物处理厂</w:t>
      </w:r>
    </w:p>
    <w:p w14:paraId="780468F2" w14:textId="0A9AFB07" w:rsidR="006A7A4A" w:rsidRPr="00F27F32" w:rsidRDefault="00F27F32" w:rsidP="006A7A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        2020.09.</w:t>
      </w:r>
      <w:r w:rsidR="0035401A">
        <w:rPr>
          <w:rFonts w:ascii="Times New Roman" w:eastAsia="宋体" w:hAnsi="Times New Roman" w:cs="Times New Roman"/>
          <w:b/>
          <w:bCs/>
          <w:sz w:val="24"/>
          <w:szCs w:val="24"/>
        </w:rPr>
        <w:t>30</w:t>
      </w:r>
    </w:p>
    <w:p w14:paraId="5AD921CF" w14:textId="64186E33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sectPr w:rsidR="006A7A4A" w:rsidRPr="00F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AA9DE" w14:textId="77777777" w:rsidR="005039C5" w:rsidRDefault="005039C5" w:rsidP="006A7A4A">
      <w:r>
        <w:separator/>
      </w:r>
    </w:p>
  </w:endnote>
  <w:endnote w:type="continuationSeparator" w:id="0">
    <w:p w14:paraId="608ADE98" w14:textId="77777777" w:rsidR="005039C5" w:rsidRDefault="005039C5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FC1F" w14:textId="77777777" w:rsidR="005039C5" w:rsidRDefault="005039C5" w:rsidP="006A7A4A">
      <w:r>
        <w:separator/>
      </w:r>
    </w:p>
  </w:footnote>
  <w:footnote w:type="continuationSeparator" w:id="0">
    <w:p w14:paraId="2A083AF6" w14:textId="77777777" w:rsidR="005039C5" w:rsidRDefault="005039C5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263CCA"/>
    <w:rsid w:val="0035401A"/>
    <w:rsid w:val="00442580"/>
    <w:rsid w:val="005039C5"/>
    <w:rsid w:val="005A2600"/>
    <w:rsid w:val="005F3DDE"/>
    <w:rsid w:val="006A7A4A"/>
    <w:rsid w:val="00971F93"/>
    <w:rsid w:val="00BD710D"/>
    <w:rsid w:val="00CC53C6"/>
    <w:rsid w:val="00D56206"/>
    <w:rsid w:val="00E06557"/>
    <w:rsid w:val="00E655E6"/>
    <w:rsid w:val="00EC6B61"/>
    <w:rsid w:val="00EF3F76"/>
    <w:rsid w:val="00F00707"/>
    <w:rsid w:val="00F27F32"/>
    <w:rsid w:val="00F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5F3DDE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0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123</cp:lastModifiedBy>
  <cp:revision>6</cp:revision>
  <dcterms:created xsi:type="dcterms:W3CDTF">2020-09-18T05:59:00Z</dcterms:created>
  <dcterms:modified xsi:type="dcterms:W3CDTF">2020-09-29T01:38:00Z</dcterms:modified>
</cp:coreProperties>
</file>