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cs="Times New Roman"/>
        </w:rPr>
      </w:pPr>
      <w:bookmarkStart w:id="0" w:name="_Hlk82268204"/>
    </w:p>
    <w:p>
      <w:pPr>
        <w:ind w:firstLine="480"/>
        <w:rPr>
          <w:rFonts w:cs="Times New Roman"/>
        </w:rPr>
      </w:pPr>
    </w:p>
    <w:p>
      <w:pPr>
        <w:ind w:firstLine="480"/>
        <w:rPr>
          <w:rFonts w:cs="Times New Roman"/>
        </w:rPr>
      </w:pPr>
    </w:p>
    <w:p>
      <w:pPr>
        <w:ind w:firstLine="480"/>
        <w:rPr>
          <w:rFonts w:cs="Times New Roman"/>
        </w:rPr>
      </w:pPr>
    </w:p>
    <w:p>
      <w:pPr>
        <w:ind w:firstLine="0" w:firstLineChars="0"/>
        <w:jc w:val="center"/>
        <w:rPr>
          <w:rFonts w:cs="Times New Roman"/>
          <w:b/>
          <w:bCs/>
          <w:sz w:val="52"/>
          <w:szCs w:val="52"/>
        </w:rPr>
      </w:pPr>
      <w:r>
        <w:rPr>
          <w:rFonts w:hint="eastAsia" w:cs="Times New Roman"/>
          <w:b/>
          <w:bCs/>
          <w:sz w:val="52"/>
          <w:szCs w:val="52"/>
        </w:rPr>
        <w:t>桐乡市诺派纺织科技有限公司</w:t>
      </w:r>
    </w:p>
    <w:p>
      <w:pPr>
        <w:ind w:firstLine="0" w:firstLineChars="0"/>
        <w:jc w:val="center"/>
        <w:rPr>
          <w:rFonts w:cs="Times New Roman"/>
          <w:b/>
          <w:bCs/>
          <w:spacing w:val="-10"/>
          <w:sz w:val="52"/>
          <w:szCs w:val="52"/>
        </w:rPr>
      </w:pPr>
      <w:r>
        <w:rPr>
          <w:rFonts w:hint="eastAsia" w:cs="Times New Roman"/>
          <w:b/>
          <w:bCs/>
          <w:spacing w:val="-10"/>
          <w:sz w:val="52"/>
          <w:szCs w:val="52"/>
        </w:rPr>
        <w:t>年产500万米功能性装饰面料建设项目</w:t>
      </w:r>
    </w:p>
    <w:p>
      <w:pPr>
        <w:spacing w:before="312" w:beforeLines="100"/>
        <w:ind w:firstLine="0" w:firstLineChars="0"/>
        <w:jc w:val="center"/>
        <w:rPr>
          <w:rFonts w:cs="Times New Roman"/>
          <w:b/>
          <w:bCs/>
          <w:sz w:val="48"/>
          <w:szCs w:val="48"/>
        </w:rPr>
      </w:pPr>
      <w:r>
        <w:rPr>
          <w:rFonts w:cs="Times New Roman"/>
          <w:b/>
          <w:bCs/>
          <w:sz w:val="48"/>
          <w:szCs w:val="48"/>
        </w:rPr>
        <w:t>竣工环境保护</w:t>
      </w:r>
      <w:r>
        <w:rPr>
          <w:rFonts w:hint="eastAsia" w:cs="Times New Roman"/>
          <w:b/>
          <w:bCs/>
          <w:sz w:val="48"/>
          <w:szCs w:val="48"/>
        </w:rPr>
        <w:t>阶段性</w:t>
      </w:r>
      <w:r>
        <w:rPr>
          <w:rFonts w:cs="Times New Roman"/>
          <w:b/>
          <w:bCs/>
          <w:sz w:val="48"/>
          <w:szCs w:val="48"/>
        </w:rPr>
        <w:t>验收报告</w:t>
      </w: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28"/>
          <w:szCs w:val="28"/>
        </w:rPr>
      </w:pPr>
    </w:p>
    <w:p>
      <w:pPr>
        <w:ind w:firstLine="0" w:firstLineChars="0"/>
        <w:rPr>
          <w:rFonts w:cs="Times New Roman"/>
          <w:b/>
          <w:bCs/>
          <w:sz w:val="28"/>
          <w:szCs w:val="28"/>
        </w:rPr>
      </w:pPr>
    </w:p>
    <w:p>
      <w:pPr>
        <w:pStyle w:val="2"/>
        <w:ind w:left="480" w:firstLine="480"/>
      </w:pPr>
    </w:p>
    <w:p>
      <w:pPr>
        <w:ind w:firstLine="0" w:firstLineChars="0"/>
        <w:jc w:val="center"/>
        <w:rPr>
          <w:rFonts w:cs="Times New Roman"/>
          <w:b/>
          <w:bCs/>
          <w:sz w:val="36"/>
          <w:szCs w:val="36"/>
        </w:rPr>
      </w:pPr>
      <w:r>
        <w:rPr>
          <w:rFonts w:hint="eastAsia" w:cs="Times New Roman"/>
          <w:b/>
          <w:bCs/>
          <w:sz w:val="36"/>
          <w:szCs w:val="36"/>
        </w:rPr>
        <w:t>建设</w:t>
      </w:r>
      <w:r>
        <w:rPr>
          <w:rFonts w:cs="Times New Roman"/>
          <w:b/>
          <w:bCs/>
          <w:sz w:val="36"/>
          <w:szCs w:val="36"/>
        </w:rPr>
        <w:t>单位：</w:t>
      </w:r>
      <w:r>
        <w:rPr>
          <w:rFonts w:hint="eastAsia" w:cs="Times New Roman"/>
          <w:b/>
          <w:bCs/>
          <w:sz w:val="36"/>
          <w:szCs w:val="36"/>
        </w:rPr>
        <w:t>桐乡市诺派纺织科技有限公司</w:t>
      </w:r>
    </w:p>
    <w:p>
      <w:pPr>
        <w:ind w:firstLine="0" w:firstLineChars="0"/>
        <w:jc w:val="center"/>
        <w:rPr>
          <w:rFonts w:cs="Times New Roman"/>
          <w:b/>
          <w:bCs/>
          <w:sz w:val="36"/>
          <w:szCs w:val="36"/>
        </w:rPr>
      </w:pPr>
      <w:r>
        <w:rPr>
          <w:rFonts w:hint="eastAsia" w:cs="Times New Roman"/>
          <w:b/>
          <w:bCs/>
          <w:sz w:val="36"/>
          <w:szCs w:val="36"/>
        </w:rPr>
        <w:t>编制单位：桐乡市诺派纺织科技有限公司</w:t>
      </w:r>
    </w:p>
    <w:p>
      <w:pPr>
        <w:ind w:firstLine="0" w:firstLineChars="0"/>
        <w:jc w:val="center"/>
        <w:rPr>
          <w:rFonts w:cs="Times New Roman"/>
          <w:b/>
          <w:bCs/>
          <w:sz w:val="36"/>
          <w:szCs w:val="36"/>
        </w:rPr>
      </w:pPr>
      <w:r>
        <w:rPr>
          <w:rFonts w:hint="eastAsia" w:cs="Times New Roman"/>
          <w:b/>
          <w:bCs/>
          <w:sz w:val="36"/>
          <w:szCs w:val="36"/>
        </w:rPr>
        <w:t>二〇二二年十二月</w:t>
      </w:r>
    </w:p>
    <w:p>
      <w:pPr>
        <w:pStyle w:val="2"/>
        <w:ind w:left="480" w:firstLine="480"/>
      </w:pPr>
    </w:p>
    <w:p>
      <w:pPr>
        <w:ind w:firstLine="0" w:firstLineChars="0"/>
        <w:rPr>
          <w:rFonts w:cs="Times New Roman"/>
          <w:b/>
          <w:bCs/>
          <w:sz w:val="48"/>
          <w:szCs w:val="48"/>
        </w:rPr>
        <w:sectPr>
          <w:headerReference r:id="rId7" w:type="first"/>
          <w:footerReference r:id="rId10" w:type="first"/>
          <w:headerReference r:id="rId5" w:type="default"/>
          <w:footerReference r:id="rId8" w:type="default"/>
          <w:headerReference r:id="rId6" w:type="even"/>
          <w:footerReference r:id="rId9" w:type="even"/>
          <w:pgSz w:w="11906" w:h="16838"/>
          <w:pgMar w:top="1418" w:right="1701" w:bottom="1418" w:left="1701" w:header="851" w:footer="992" w:gutter="0"/>
          <w:pgNumType w:fmt="numberInDash" w:start="1"/>
          <w:cols w:space="425" w:num="1"/>
          <w:titlePg/>
          <w:docGrid w:type="lines" w:linePitch="312" w:charSpace="0"/>
        </w:sectPr>
      </w:pPr>
    </w:p>
    <w:p>
      <w:pPr>
        <w:ind w:firstLine="0" w:firstLineChars="0"/>
        <w:rPr>
          <w:rFonts w:cs="Times New Roman"/>
          <w:b/>
          <w:bCs/>
          <w:sz w:val="48"/>
          <w:szCs w:val="48"/>
        </w:rPr>
      </w:pPr>
      <w:r>
        <w:rPr>
          <w:rFonts w:hint="eastAsia" w:cs="Times New Roman"/>
          <w:b/>
          <w:bCs/>
          <w:sz w:val="48"/>
          <w:szCs w:val="48"/>
        </w:rPr>
        <w:t>一、验收报告</w:t>
      </w:r>
    </w:p>
    <w:p>
      <w:pPr>
        <w:pStyle w:val="2"/>
        <w:ind w:left="0" w:leftChars="0" w:firstLine="0" w:firstLineChars="0"/>
        <w:rPr>
          <w:b/>
          <w:bCs/>
          <w:sz w:val="48"/>
          <w:szCs w:val="48"/>
        </w:rPr>
      </w:pPr>
    </w:p>
    <w:p>
      <w:pPr>
        <w:pStyle w:val="2"/>
        <w:ind w:left="0" w:leftChars="0" w:firstLine="0" w:firstLineChars="0"/>
        <w:rPr>
          <w:b/>
          <w:bCs/>
          <w:sz w:val="48"/>
          <w:szCs w:val="48"/>
        </w:rPr>
      </w:pPr>
      <w:r>
        <w:rPr>
          <w:rFonts w:hint="eastAsia"/>
          <w:b/>
          <w:bCs/>
          <w:sz w:val="48"/>
          <w:szCs w:val="48"/>
        </w:rPr>
        <w:t>二、验收意见</w:t>
      </w:r>
    </w:p>
    <w:p>
      <w:pPr>
        <w:pStyle w:val="2"/>
        <w:ind w:left="0" w:leftChars="0" w:firstLine="0" w:firstLineChars="0"/>
        <w:rPr>
          <w:b/>
          <w:bCs/>
          <w:sz w:val="48"/>
          <w:szCs w:val="48"/>
        </w:rPr>
      </w:pPr>
    </w:p>
    <w:p>
      <w:pPr>
        <w:ind w:firstLine="0" w:firstLineChars="0"/>
        <w:rPr>
          <w:rFonts w:cs="Times New Roman"/>
        </w:rPr>
        <w:sectPr>
          <w:pgSz w:w="11906" w:h="16838"/>
          <w:pgMar w:top="1418" w:right="1701" w:bottom="1418" w:left="1701" w:header="851" w:footer="992" w:gutter="0"/>
          <w:pgNumType w:fmt="numberInDash" w:start="1"/>
          <w:cols w:space="425" w:num="1"/>
          <w:titlePg/>
          <w:docGrid w:type="lines" w:linePitch="312" w:charSpace="0"/>
        </w:sectPr>
      </w:pPr>
      <w:r>
        <w:rPr>
          <w:rFonts w:hint="eastAsia"/>
          <w:b/>
          <w:bCs/>
          <w:sz w:val="48"/>
          <w:szCs w:val="48"/>
        </w:rPr>
        <w:t>三、其他情况说</w:t>
      </w:r>
      <w:bookmarkEnd w:id="0"/>
      <w:r>
        <w:rPr>
          <w:rFonts w:hint="eastAsia"/>
          <w:b/>
          <w:bCs/>
          <w:sz w:val="48"/>
          <w:szCs w:val="48"/>
        </w:rPr>
        <w:t>明</w:t>
      </w:r>
    </w:p>
    <w:p>
      <w:pPr>
        <w:ind w:firstLine="480"/>
        <w:rPr>
          <w:rFonts w:cs="Times New Roman"/>
        </w:rPr>
      </w:pPr>
    </w:p>
    <w:p>
      <w:pPr>
        <w:ind w:firstLine="480"/>
        <w:rPr>
          <w:rFonts w:cs="Times New Roman"/>
        </w:rPr>
      </w:pPr>
    </w:p>
    <w:p>
      <w:pPr>
        <w:ind w:firstLine="480"/>
        <w:rPr>
          <w:rFonts w:cs="Times New Roman"/>
        </w:rPr>
      </w:pPr>
    </w:p>
    <w:p>
      <w:pPr>
        <w:ind w:firstLine="480"/>
        <w:rPr>
          <w:rFonts w:cs="Times New Roman"/>
        </w:rPr>
      </w:pPr>
    </w:p>
    <w:p>
      <w:pPr>
        <w:ind w:firstLine="0" w:firstLineChars="0"/>
        <w:jc w:val="center"/>
        <w:rPr>
          <w:rFonts w:cs="Times New Roman"/>
          <w:b/>
          <w:bCs/>
          <w:sz w:val="52"/>
          <w:szCs w:val="52"/>
        </w:rPr>
      </w:pPr>
      <w:bookmarkStart w:id="1" w:name="_Hlk68177720"/>
      <w:r>
        <w:rPr>
          <w:rFonts w:hint="eastAsia" w:cs="Times New Roman"/>
          <w:b/>
          <w:bCs/>
          <w:sz w:val="52"/>
          <w:szCs w:val="52"/>
        </w:rPr>
        <w:t>桐乡市诺派纺织科技有限公司</w:t>
      </w:r>
    </w:p>
    <w:p>
      <w:pPr>
        <w:ind w:firstLine="0" w:firstLineChars="0"/>
        <w:jc w:val="center"/>
        <w:rPr>
          <w:rFonts w:cs="Times New Roman"/>
          <w:b/>
          <w:bCs/>
          <w:spacing w:val="-10"/>
          <w:sz w:val="52"/>
          <w:szCs w:val="52"/>
        </w:rPr>
      </w:pPr>
      <w:r>
        <w:rPr>
          <w:rFonts w:hint="eastAsia" w:cs="Times New Roman"/>
          <w:b/>
          <w:bCs/>
          <w:spacing w:val="-10"/>
          <w:sz w:val="52"/>
          <w:szCs w:val="52"/>
        </w:rPr>
        <w:t>年产500万米功能性装饰面料建设项目</w:t>
      </w:r>
    </w:p>
    <w:p>
      <w:pPr>
        <w:spacing w:before="312" w:beforeLines="100"/>
        <w:ind w:firstLine="0" w:firstLineChars="0"/>
        <w:jc w:val="center"/>
        <w:rPr>
          <w:rFonts w:cs="Times New Roman"/>
          <w:b/>
          <w:bCs/>
          <w:sz w:val="48"/>
          <w:szCs w:val="48"/>
        </w:rPr>
      </w:pPr>
      <w:r>
        <w:rPr>
          <w:rFonts w:cs="Times New Roman"/>
          <w:b/>
          <w:bCs/>
          <w:sz w:val="48"/>
          <w:szCs w:val="48"/>
        </w:rPr>
        <w:t>竣工环境保护</w:t>
      </w:r>
      <w:r>
        <w:rPr>
          <w:rFonts w:hint="eastAsia" w:cs="Times New Roman"/>
          <w:b/>
          <w:bCs/>
          <w:sz w:val="48"/>
          <w:szCs w:val="48"/>
        </w:rPr>
        <w:t>阶段性</w:t>
      </w:r>
      <w:r>
        <w:rPr>
          <w:rFonts w:cs="Times New Roman"/>
          <w:b/>
          <w:bCs/>
          <w:sz w:val="48"/>
          <w:szCs w:val="48"/>
        </w:rPr>
        <w:t>验收监测报告</w:t>
      </w:r>
    </w:p>
    <w:bookmarkEnd w:id="1"/>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32"/>
          <w:szCs w:val="32"/>
        </w:rPr>
      </w:pPr>
    </w:p>
    <w:p>
      <w:pPr>
        <w:ind w:firstLine="0" w:firstLineChars="0"/>
        <w:jc w:val="center"/>
        <w:rPr>
          <w:rFonts w:cs="Times New Roman"/>
          <w:b/>
          <w:bCs/>
          <w:sz w:val="28"/>
          <w:szCs w:val="28"/>
        </w:rPr>
      </w:pPr>
    </w:p>
    <w:p>
      <w:pPr>
        <w:ind w:firstLine="0" w:firstLineChars="0"/>
        <w:rPr>
          <w:rFonts w:cs="Times New Roman"/>
          <w:b/>
          <w:bCs/>
          <w:sz w:val="28"/>
          <w:szCs w:val="28"/>
        </w:rPr>
      </w:pPr>
    </w:p>
    <w:p>
      <w:pPr>
        <w:pStyle w:val="2"/>
        <w:ind w:left="480" w:firstLine="480"/>
      </w:pPr>
    </w:p>
    <w:p>
      <w:pPr>
        <w:ind w:firstLine="0" w:firstLineChars="0"/>
        <w:jc w:val="center"/>
        <w:rPr>
          <w:rFonts w:cs="Times New Roman"/>
          <w:b/>
          <w:bCs/>
          <w:sz w:val="36"/>
          <w:szCs w:val="36"/>
        </w:rPr>
      </w:pPr>
      <w:r>
        <w:rPr>
          <w:rFonts w:hint="eastAsia" w:cs="Times New Roman"/>
          <w:b/>
          <w:bCs/>
          <w:sz w:val="36"/>
          <w:szCs w:val="36"/>
        </w:rPr>
        <w:t>建设</w:t>
      </w:r>
      <w:r>
        <w:rPr>
          <w:rFonts w:cs="Times New Roman"/>
          <w:b/>
          <w:bCs/>
          <w:sz w:val="36"/>
          <w:szCs w:val="36"/>
        </w:rPr>
        <w:t>单位：</w:t>
      </w:r>
      <w:r>
        <w:rPr>
          <w:rFonts w:hint="eastAsia" w:cs="Times New Roman"/>
          <w:b/>
          <w:bCs/>
          <w:sz w:val="36"/>
          <w:szCs w:val="36"/>
        </w:rPr>
        <w:t>桐乡市诺派纺织科技有限公司</w:t>
      </w:r>
    </w:p>
    <w:p>
      <w:pPr>
        <w:ind w:firstLine="0" w:firstLineChars="0"/>
        <w:jc w:val="center"/>
        <w:rPr>
          <w:rFonts w:cs="Times New Roman"/>
          <w:b/>
          <w:bCs/>
          <w:sz w:val="36"/>
          <w:szCs w:val="36"/>
        </w:rPr>
      </w:pPr>
      <w:r>
        <w:rPr>
          <w:rFonts w:hint="eastAsia" w:cs="Times New Roman"/>
          <w:b/>
          <w:bCs/>
          <w:sz w:val="36"/>
          <w:szCs w:val="36"/>
        </w:rPr>
        <w:t>编制单位：桐乡市诺派纺织科技有限公司</w:t>
      </w:r>
    </w:p>
    <w:p>
      <w:pPr>
        <w:ind w:firstLine="0" w:firstLineChars="0"/>
        <w:jc w:val="center"/>
        <w:rPr>
          <w:rFonts w:cs="Times New Roman"/>
          <w:b/>
          <w:bCs/>
          <w:sz w:val="36"/>
          <w:szCs w:val="36"/>
        </w:rPr>
      </w:pPr>
      <w:r>
        <w:rPr>
          <w:rFonts w:hint="eastAsia" w:cs="Times New Roman"/>
          <w:b/>
          <w:bCs/>
          <w:sz w:val="36"/>
          <w:szCs w:val="36"/>
        </w:rPr>
        <w:t>二</w:t>
      </w:r>
      <w:bookmarkStart w:id="2" w:name="_Hlk68595637"/>
      <w:r>
        <w:rPr>
          <w:rFonts w:hint="eastAsia" w:cs="Times New Roman"/>
          <w:b/>
          <w:bCs/>
          <w:sz w:val="36"/>
          <w:szCs w:val="36"/>
        </w:rPr>
        <w:t>〇</w:t>
      </w:r>
      <w:bookmarkEnd w:id="2"/>
      <w:r>
        <w:rPr>
          <w:rFonts w:hint="eastAsia" w:cs="Times New Roman"/>
          <w:b/>
          <w:bCs/>
          <w:sz w:val="36"/>
          <w:szCs w:val="36"/>
        </w:rPr>
        <w:t>二二年十二月</w:t>
      </w:r>
    </w:p>
    <w:p>
      <w:pPr>
        <w:pStyle w:val="2"/>
        <w:ind w:left="480" w:firstLine="480"/>
      </w:pPr>
    </w:p>
    <w:p>
      <w:pPr>
        <w:spacing w:line="480" w:lineRule="auto"/>
        <w:ind w:firstLine="480"/>
        <w:rPr>
          <w:rFonts w:cs="Times New Roman"/>
        </w:rPr>
        <w:sectPr>
          <w:headerReference r:id="rId13" w:type="first"/>
          <w:footerReference r:id="rId16" w:type="first"/>
          <w:headerReference r:id="rId11" w:type="default"/>
          <w:footerReference r:id="rId14" w:type="default"/>
          <w:headerReference r:id="rId12" w:type="even"/>
          <w:footerReference r:id="rId15" w:type="even"/>
          <w:pgSz w:w="11906" w:h="16838"/>
          <w:pgMar w:top="1418" w:right="1701" w:bottom="1418" w:left="1701" w:header="851" w:footer="992" w:gutter="0"/>
          <w:pgNumType w:fmt="numberInDash" w:start="1"/>
          <w:cols w:space="425" w:num="1"/>
          <w:titlePg/>
          <w:docGrid w:type="lines" w:linePitch="312" w:charSpace="0"/>
        </w:sectPr>
      </w:pPr>
    </w:p>
    <w:p>
      <w:pPr>
        <w:ind w:firstLine="480"/>
      </w:pPr>
      <w:r>
        <w:t>建设单位：</w:t>
      </w:r>
      <w:bookmarkStart w:id="3" w:name="_Hlk82763788"/>
      <w:r>
        <w:fldChar w:fldCharType="begin"/>
      </w:r>
      <w:r>
        <w:instrText xml:space="preserve"> DOCPROPERTY  项目名称  \* MERGEFORMAT </w:instrText>
      </w:r>
      <w:r>
        <w:fldChar w:fldCharType="separate"/>
      </w:r>
      <w:r>
        <w:rPr>
          <w:rFonts w:hint="eastAsia"/>
        </w:rPr>
        <w:t>桐乡市诺派纺织科技有限公司</w:t>
      </w:r>
      <w:r>
        <w:fldChar w:fldCharType="end"/>
      </w:r>
      <w:bookmarkEnd w:id="3"/>
    </w:p>
    <w:p>
      <w:pPr>
        <w:ind w:firstLine="480"/>
        <w:rPr>
          <w:bCs/>
        </w:rPr>
      </w:pPr>
      <w:r>
        <w:t>法人代表：</w:t>
      </w:r>
      <w:r>
        <w:rPr>
          <w:rFonts w:hint="eastAsia"/>
        </w:rPr>
        <w:t>朱新权</w:t>
      </w:r>
    </w:p>
    <w:p>
      <w:pPr>
        <w:ind w:firstLine="640"/>
        <w:jc w:val="center"/>
        <w:rPr>
          <w:sz w:val="32"/>
          <w:szCs w:val="32"/>
        </w:rPr>
      </w:pPr>
    </w:p>
    <w:p>
      <w:pPr>
        <w:ind w:firstLine="480"/>
      </w:pPr>
      <w:r>
        <w:rPr>
          <w:rFonts w:hint="eastAsia"/>
        </w:rPr>
        <w:t>编制</w:t>
      </w:r>
      <w:r>
        <w:t>单位：</w:t>
      </w:r>
      <w:r>
        <w:fldChar w:fldCharType="begin"/>
      </w:r>
      <w:r>
        <w:instrText xml:space="preserve"> DOCPROPERTY  项目名称  \* MERGEFORMAT </w:instrText>
      </w:r>
      <w:r>
        <w:fldChar w:fldCharType="separate"/>
      </w:r>
      <w:r>
        <w:rPr>
          <w:rFonts w:hint="eastAsia"/>
        </w:rPr>
        <w:t>桐乡市诺派纺织科技有限公司</w:t>
      </w:r>
      <w:r>
        <w:fldChar w:fldCharType="end"/>
      </w:r>
    </w:p>
    <w:p>
      <w:pPr>
        <w:ind w:firstLine="480"/>
        <w:rPr>
          <w:bCs/>
        </w:rPr>
      </w:pPr>
      <w:r>
        <w:t>法人代表：</w:t>
      </w:r>
      <w:r>
        <w:rPr>
          <w:rFonts w:hint="eastAsia"/>
        </w:rPr>
        <w:t>朱新权</w:t>
      </w:r>
    </w:p>
    <w:p>
      <w:pPr>
        <w:ind w:firstLine="480"/>
        <w:rPr>
          <w:b/>
        </w:rPr>
      </w:pPr>
      <w:r>
        <w:rPr>
          <w:rFonts w:hint="eastAsia"/>
        </w:rPr>
        <w:t>项目负责人：</w:t>
      </w:r>
      <w:r>
        <w:rPr>
          <w:rFonts w:hint="eastAsia"/>
          <w:bCs/>
        </w:rPr>
        <w:t>屈雪庆</w:t>
      </w:r>
    </w:p>
    <w:p>
      <w:pPr>
        <w:ind w:firstLine="640"/>
        <w:jc w:val="center"/>
        <w:rPr>
          <w:sz w:val="32"/>
          <w:szCs w:val="32"/>
        </w:rPr>
      </w:pPr>
    </w:p>
    <w:p>
      <w:pPr>
        <w:ind w:firstLine="640"/>
        <w:jc w:val="center"/>
        <w:rPr>
          <w:sz w:val="32"/>
          <w:szCs w:val="32"/>
        </w:rPr>
      </w:pPr>
    </w:p>
    <w:p>
      <w:pPr>
        <w:spacing w:line="480" w:lineRule="auto"/>
        <w:ind w:firstLine="480"/>
      </w:pPr>
    </w:p>
    <w:p>
      <w:pPr>
        <w:spacing w:line="480" w:lineRule="auto"/>
        <w:ind w:firstLine="480"/>
      </w:pPr>
    </w:p>
    <w:p>
      <w:pPr>
        <w:spacing w:line="480" w:lineRule="auto"/>
        <w:ind w:firstLine="480"/>
      </w:pPr>
    </w:p>
    <w:p>
      <w:pPr>
        <w:spacing w:line="480" w:lineRule="auto"/>
        <w:ind w:firstLine="480"/>
      </w:pPr>
    </w:p>
    <w:p>
      <w:pPr>
        <w:spacing w:line="480" w:lineRule="auto"/>
        <w:ind w:firstLine="480"/>
      </w:pPr>
    </w:p>
    <w:p>
      <w:pPr>
        <w:spacing w:line="480" w:lineRule="auto"/>
        <w:ind w:firstLine="480"/>
      </w:pPr>
    </w:p>
    <w:p>
      <w:pPr>
        <w:spacing w:line="480" w:lineRule="auto"/>
        <w:ind w:firstLine="480"/>
      </w:pPr>
    </w:p>
    <w:p>
      <w:pPr>
        <w:pStyle w:val="2"/>
        <w:ind w:left="480" w:firstLine="480"/>
      </w:pPr>
    </w:p>
    <w:p>
      <w:pPr>
        <w:pStyle w:val="2"/>
        <w:ind w:left="480" w:firstLine="480"/>
      </w:pPr>
    </w:p>
    <w:p>
      <w:pPr>
        <w:spacing w:line="480" w:lineRule="auto"/>
        <w:ind w:firstLine="480"/>
      </w:pPr>
      <w:r>
        <w:t>建设</w:t>
      </w:r>
      <w:r>
        <w:rPr>
          <w:rFonts w:hint="eastAsia"/>
        </w:rPr>
        <w:t>（编制）</w:t>
      </w:r>
      <w:r>
        <w:t>单位：</w:t>
      </w:r>
      <w:r>
        <w:fldChar w:fldCharType="begin"/>
      </w:r>
      <w:r>
        <w:instrText xml:space="preserve"> DOCPROPERTY  项目名称  \* MERGEFORMAT </w:instrText>
      </w:r>
      <w:r>
        <w:fldChar w:fldCharType="separate"/>
      </w:r>
      <w:r>
        <w:rPr>
          <w:rFonts w:hint="eastAsia"/>
        </w:rPr>
        <w:t>桐乡市诺派纺织科技有限公司</w:t>
      </w:r>
      <w:r>
        <w:fldChar w:fldCharType="end"/>
      </w:r>
    </w:p>
    <w:p>
      <w:pPr>
        <w:spacing w:line="480" w:lineRule="auto"/>
        <w:ind w:firstLine="480"/>
      </w:pPr>
      <w:r>
        <w:rPr>
          <w:rFonts w:hint="eastAsia"/>
          <w:bCs/>
        </w:rPr>
        <w:t>联系人：屈雪庆</w:t>
      </w:r>
    </w:p>
    <w:p>
      <w:pPr>
        <w:spacing w:line="480" w:lineRule="auto"/>
        <w:ind w:firstLine="480"/>
      </w:pPr>
      <w:r>
        <w:rPr>
          <w:rFonts w:hint="eastAsia"/>
        </w:rPr>
        <w:t>电话：</w:t>
      </w:r>
      <w:r>
        <w:t>13757309068</w:t>
      </w:r>
    </w:p>
    <w:p>
      <w:pPr>
        <w:spacing w:line="480" w:lineRule="auto"/>
        <w:ind w:firstLine="480"/>
      </w:pPr>
      <w:r>
        <w:rPr>
          <w:rFonts w:hint="eastAsia"/>
          <w:bCs/>
        </w:rPr>
        <w:t>邮编：3145</w:t>
      </w:r>
      <w:r>
        <w:rPr>
          <w:bCs/>
        </w:rPr>
        <w:t>13</w:t>
      </w:r>
    </w:p>
    <w:p>
      <w:pPr>
        <w:spacing w:line="480" w:lineRule="auto"/>
        <w:ind w:firstLine="480"/>
        <w:rPr>
          <w:bCs/>
        </w:rPr>
      </w:pPr>
      <w:r>
        <w:rPr>
          <w:rFonts w:hint="eastAsia"/>
          <w:bCs/>
        </w:rPr>
        <w:t>地址：桐乡市洲泉镇工业功能区中小企业分区中河路158号（桐乡市炬力塑胶股份有限公司内）</w:t>
      </w:r>
    </w:p>
    <w:p>
      <w:pPr>
        <w:pStyle w:val="2"/>
        <w:ind w:left="480" w:firstLine="480"/>
      </w:pPr>
    </w:p>
    <w:p>
      <w:pPr>
        <w:pStyle w:val="2"/>
        <w:ind w:left="480" w:firstLine="480"/>
        <w:sectPr>
          <w:footerReference r:id="rId17" w:type="first"/>
          <w:pgSz w:w="11906" w:h="16838"/>
          <w:pgMar w:top="1418" w:right="1701" w:bottom="1418" w:left="1701" w:header="851" w:footer="992" w:gutter="0"/>
          <w:pgNumType w:fmt="numberInDash" w:start="1"/>
          <w:cols w:space="425" w:num="1"/>
          <w:titlePg/>
          <w:docGrid w:type="lines" w:linePitch="312" w:charSpace="0"/>
        </w:sectPr>
      </w:pPr>
    </w:p>
    <w:p>
      <w:pPr>
        <w:pStyle w:val="4"/>
        <w:jc w:val="center"/>
        <w:rPr>
          <w:sz w:val="36"/>
          <w:szCs w:val="52"/>
        </w:rPr>
      </w:pPr>
      <w:bookmarkStart w:id="4" w:name="_Toc81808373"/>
      <w:bookmarkStart w:id="5" w:name="_Toc81808485"/>
      <w:r>
        <w:rPr>
          <w:sz w:val="36"/>
          <w:szCs w:val="52"/>
        </w:rPr>
        <w:t>目  录</w:t>
      </w:r>
      <w:bookmarkEnd w:id="4"/>
      <w:bookmarkEnd w:id="5"/>
    </w:p>
    <w:p>
      <w:pPr>
        <w:pStyle w:val="16"/>
        <w:tabs>
          <w:tab w:val="right" w:leader="dot" w:pos="8494"/>
        </w:tabs>
        <w:rPr>
          <w:rFonts w:asciiTheme="minorHAnsi" w:hAnsiTheme="minorHAnsi" w:eastAsiaTheme="minorEastAsia"/>
          <w:b/>
          <w:bCs/>
          <w:sz w:val="21"/>
          <w:szCs w:val="22"/>
        </w:rPr>
      </w:pPr>
      <w:r>
        <w:rPr>
          <w:rFonts w:cs="Times New Roman"/>
          <w:b/>
          <w:bCs/>
          <w:sz w:val="36"/>
          <w:szCs w:val="36"/>
        </w:rPr>
        <w:fldChar w:fldCharType="begin"/>
      </w:r>
      <w:r>
        <w:rPr>
          <w:rFonts w:cs="Times New Roman"/>
          <w:b/>
          <w:bCs/>
          <w:sz w:val="36"/>
          <w:szCs w:val="36"/>
        </w:rPr>
        <w:instrText xml:space="preserve">TOC \o "1-3" \h \u </w:instrText>
      </w:r>
      <w:r>
        <w:rPr>
          <w:rFonts w:cs="Times New Roman"/>
          <w:b/>
          <w:bCs/>
          <w:sz w:val="36"/>
          <w:szCs w:val="36"/>
        </w:rPr>
        <w:fldChar w:fldCharType="separate"/>
      </w:r>
      <w:r>
        <w:fldChar w:fldCharType="begin"/>
      </w:r>
      <w:r>
        <w:instrText xml:space="preserve"> HYPERLINK \l "_Toc81808486" </w:instrText>
      </w:r>
      <w:r>
        <w:fldChar w:fldCharType="separate"/>
      </w:r>
      <w:r>
        <w:rPr>
          <w:rStyle w:val="28"/>
          <w:b/>
          <w:bCs/>
          <w:color w:val="auto"/>
        </w:rPr>
        <w:t>1 验收项目概况</w:t>
      </w:r>
      <w:r>
        <w:rPr>
          <w:b/>
          <w:bCs/>
        </w:rPr>
        <w:tab/>
      </w:r>
      <w:r>
        <w:rPr>
          <w:b/>
          <w:bCs/>
        </w:rPr>
        <w:fldChar w:fldCharType="begin"/>
      </w:r>
      <w:r>
        <w:rPr>
          <w:b/>
          <w:bCs/>
        </w:rPr>
        <w:instrText xml:space="preserve"> PAGEREF _Toc81808486 \h </w:instrText>
      </w:r>
      <w:r>
        <w:rPr>
          <w:b/>
          <w:bCs/>
        </w:rPr>
        <w:fldChar w:fldCharType="separate"/>
      </w:r>
      <w:r>
        <w:rPr>
          <w:b/>
          <w:bCs/>
        </w:rPr>
        <w:t>- 3 -</w:t>
      </w:r>
      <w:r>
        <w:rPr>
          <w:b/>
          <w:bCs/>
        </w:rPr>
        <w:fldChar w:fldCharType="end"/>
      </w:r>
      <w:r>
        <w:rPr>
          <w:b/>
          <w:bCs/>
        </w:rP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"_Toc81808487" </w:instrText>
      </w:r>
      <w:r>
        <w:fldChar w:fldCharType="separate"/>
      </w:r>
      <w:r>
        <w:rPr>
          <w:rStyle w:val="28"/>
          <w:b/>
          <w:bCs/>
          <w:color w:val="auto"/>
        </w:rPr>
        <w:t>2 验收依据</w:t>
      </w:r>
      <w:r>
        <w:rPr>
          <w:b/>
          <w:bCs/>
        </w:rPr>
        <w:tab/>
      </w:r>
      <w:r>
        <w:rPr>
          <w:b/>
          <w:bCs/>
        </w:rPr>
        <w:fldChar w:fldCharType="begin"/>
      </w:r>
      <w:r>
        <w:rPr>
          <w:b/>
          <w:bCs/>
        </w:rPr>
        <w:instrText xml:space="preserve"> PAGEREF _Toc81808487 \h </w:instrText>
      </w:r>
      <w:r>
        <w:rPr>
          <w:b/>
          <w:bCs/>
        </w:rPr>
        <w:fldChar w:fldCharType="separate"/>
      </w:r>
      <w:r>
        <w:rPr>
          <w:b/>
          <w:bCs/>
        </w:rPr>
        <w:t>- 5 -</w:t>
      </w:r>
      <w:r>
        <w:rPr>
          <w:b/>
          <w:bCs/>
        </w:rPr>
        <w:fldChar w:fldCharType="end"/>
      </w:r>
      <w:r>
        <w:rPr>
          <w:b/>
          <w:bCs/>
        </w:rP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"_Toc81808488" </w:instrText>
      </w:r>
      <w:r>
        <w:fldChar w:fldCharType="separate"/>
      </w:r>
      <w:r>
        <w:rPr>
          <w:rStyle w:val="28"/>
          <w:b/>
          <w:bCs/>
          <w:color w:val="auto"/>
        </w:rPr>
        <w:t>3 工程建设情况</w:t>
      </w:r>
      <w:r>
        <w:rPr>
          <w:b/>
          <w:bCs/>
        </w:rPr>
        <w:tab/>
      </w:r>
      <w:r>
        <w:rPr>
          <w:b/>
          <w:bCs/>
        </w:rPr>
        <w:fldChar w:fldCharType="begin"/>
      </w:r>
      <w:r>
        <w:rPr>
          <w:b/>
          <w:bCs/>
        </w:rPr>
        <w:instrText xml:space="preserve"> PAGEREF _Toc81808488 \h </w:instrText>
      </w:r>
      <w:r>
        <w:rPr>
          <w:b/>
          <w:bCs/>
        </w:rPr>
        <w:fldChar w:fldCharType="separate"/>
      </w:r>
      <w:r>
        <w:rPr>
          <w:b/>
          <w:bCs/>
        </w:rPr>
        <w:t>- 7 -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"_Toc81808489" </w:instrText>
      </w:r>
      <w:r>
        <w:fldChar w:fldCharType="separate"/>
      </w:r>
      <w:r>
        <w:rPr>
          <w:rStyle w:val="28"/>
          <w:rFonts w:cs="Times New Roman"/>
          <w:color w:val="auto"/>
        </w:rPr>
        <w:t>3.1地理位置及平面布置</w:t>
      </w:r>
      <w:r>
        <w:tab/>
      </w:r>
      <w:r>
        <w:fldChar w:fldCharType="begin"/>
      </w:r>
      <w:r>
        <w:instrText xml:space="preserve"> PAGEREF _Toc81808489 \h </w:instrText>
      </w:r>
      <w:r>
        <w:fldChar w:fldCharType="separate"/>
      </w:r>
      <w:r>
        <w:t>- 7 -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"_Toc81808490" </w:instrText>
      </w:r>
      <w:r>
        <w:fldChar w:fldCharType="separate"/>
      </w:r>
      <w:r>
        <w:rPr>
          <w:rStyle w:val="28"/>
          <w:rFonts w:cs="Times New Roman"/>
          <w:color w:val="auto"/>
        </w:rPr>
        <w:t>3.2建设内容</w:t>
      </w:r>
      <w:r>
        <w:tab/>
      </w:r>
      <w:r>
        <w:fldChar w:fldCharType="begin"/>
      </w:r>
      <w:r>
        <w:instrText xml:space="preserve"> PAGEREF _Toc81808490 \h </w:instrText>
      </w:r>
      <w:r>
        <w:fldChar w:fldCharType="separate"/>
      </w:r>
      <w:r>
        <w:t>- 8 -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"_Toc81808491" </w:instrText>
      </w:r>
      <w:r>
        <w:fldChar w:fldCharType="separate"/>
      </w:r>
      <w:r>
        <w:rPr>
          <w:rStyle w:val="28"/>
          <w:rFonts w:cs="Times New Roman"/>
          <w:color w:val="auto"/>
        </w:rPr>
        <w:t>3.3主要原辅材料</w:t>
      </w:r>
      <w:r>
        <w:tab/>
      </w:r>
      <w:r>
        <w:fldChar w:fldCharType="begin"/>
      </w:r>
      <w:r>
        <w:instrText xml:space="preserve"> PAGEREF _Toc81808491 \h </w:instrText>
      </w:r>
      <w:r>
        <w:fldChar w:fldCharType="separate"/>
      </w:r>
      <w:r>
        <w:t>- 10 -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"_Toc81808492" </w:instrText>
      </w:r>
      <w:r>
        <w:fldChar w:fldCharType="separate"/>
      </w:r>
      <w:r>
        <w:rPr>
          <w:rStyle w:val="28"/>
          <w:color w:val="auto"/>
        </w:rPr>
        <w:t>3.4用水情况</w:t>
      </w:r>
      <w:r>
        <w:tab/>
      </w:r>
      <w:r>
        <w:fldChar w:fldCharType="begin"/>
      </w:r>
      <w:r>
        <w:instrText xml:space="preserve"> PAGEREF _Toc81808492 \h </w:instrText>
      </w:r>
      <w:r>
        <w:fldChar w:fldCharType="separate"/>
      </w:r>
      <w:r>
        <w:t>- 10 -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"_Toc81808493" </w:instrText>
      </w:r>
      <w:r>
        <w:fldChar w:fldCharType="separate"/>
      </w:r>
      <w:r>
        <w:rPr>
          <w:rStyle w:val="28"/>
          <w:color w:val="auto"/>
        </w:rPr>
        <w:t>3.5生产工艺</w:t>
      </w:r>
      <w:r>
        <w:tab/>
      </w:r>
      <w:r>
        <w:fldChar w:fldCharType="begin"/>
      </w:r>
      <w:r>
        <w:instrText xml:space="preserve"> PAGEREF _Toc81808493 \h </w:instrText>
      </w:r>
      <w:r>
        <w:fldChar w:fldCharType="separate"/>
      </w:r>
      <w:r>
        <w:t>- 12 -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"_Toc81808496" </w:instrText>
      </w:r>
      <w:r>
        <w:fldChar w:fldCharType="separate"/>
      </w:r>
      <w:r>
        <w:rPr>
          <w:rStyle w:val="28"/>
          <w:rFonts w:cs="Times New Roman"/>
          <w:color w:val="auto"/>
        </w:rPr>
        <w:t>3.6项目变动情况</w:t>
      </w:r>
      <w:r>
        <w:tab/>
      </w:r>
      <w:r>
        <w:fldChar w:fldCharType="begin"/>
      </w:r>
      <w:r>
        <w:instrText xml:space="preserve"> PAGEREF _Toc81808496 \h </w:instrText>
      </w:r>
      <w:r>
        <w:fldChar w:fldCharType="separate"/>
      </w:r>
      <w:r>
        <w:t>- 14 -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"_Toc81808497" </w:instrText>
      </w:r>
      <w:r>
        <w:fldChar w:fldCharType="separate"/>
      </w:r>
      <w:r>
        <w:rPr>
          <w:rStyle w:val="28"/>
          <w:b/>
          <w:bCs/>
          <w:color w:val="auto"/>
        </w:rPr>
        <w:t>4环境保护设施</w:t>
      </w:r>
      <w:r>
        <w:rPr>
          <w:b/>
          <w:bCs/>
        </w:rPr>
        <w:tab/>
      </w:r>
      <w:r>
        <w:rPr>
          <w:b/>
          <w:bCs/>
        </w:rPr>
        <w:fldChar w:fldCharType="begin"/>
      </w:r>
      <w:r>
        <w:rPr>
          <w:b/>
          <w:bCs/>
        </w:rPr>
        <w:instrText xml:space="preserve"> PAGEREF _Toc81808497 \h </w:instrText>
      </w:r>
      <w:r>
        <w:rPr>
          <w:b/>
          <w:bCs/>
        </w:rPr>
        <w:fldChar w:fldCharType="separate"/>
      </w:r>
      <w:r>
        <w:rPr>
          <w:b/>
          <w:bCs/>
        </w:rPr>
        <w:t>- 15 -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"_Toc81808498" </w:instrText>
      </w:r>
      <w:r>
        <w:fldChar w:fldCharType="separate"/>
      </w:r>
      <w:r>
        <w:rPr>
          <w:rStyle w:val="28"/>
          <w:color w:val="auto"/>
        </w:rPr>
        <w:t>4.1污染物治理设施</w:t>
      </w:r>
      <w:r>
        <w:tab/>
      </w:r>
      <w:r>
        <w:fldChar w:fldCharType="begin"/>
      </w:r>
      <w:r>
        <w:instrText xml:space="preserve"> PAGEREF _Toc81808498 \h </w:instrText>
      </w:r>
      <w:r>
        <w:fldChar w:fldCharType="separate"/>
      </w:r>
      <w:r>
        <w:t>- 15 -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"_Toc81808505" </w:instrText>
      </w:r>
      <w:r>
        <w:fldChar w:fldCharType="separate"/>
      </w:r>
      <w:r>
        <w:rPr>
          <w:rStyle w:val="28"/>
          <w:color w:val="auto"/>
        </w:rPr>
        <w:t>4.2环保设施投资及</w:t>
      </w:r>
      <w:r>
        <w:rPr>
          <w:rStyle w:val="28"/>
          <w:rFonts w:asciiTheme="minorEastAsia" w:hAnsiTheme="minorEastAsia"/>
          <w:color w:val="auto"/>
        </w:rPr>
        <w:t>“三同时”</w:t>
      </w:r>
      <w:r>
        <w:rPr>
          <w:rStyle w:val="28"/>
          <w:color w:val="auto"/>
        </w:rPr>
        <w:t>落实情况</w:t>
      </w:r>
      <w:r>
        <w:tab/>
      </w:r>
      <w:r>
        <w:fldChar w:fldCharType="begin"/>
      </w:r>
      <w:r>
        <w:instrText xml:space="preserve"> PAGEREF _Toc81808505 \h </w:instrText>
      </w:r>
      <w:r>
        <w:fldChar w:fldCharType="separate"/>
      </w:r>
      <w:r>
        <w:t>- 18 -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"_Toc81808506" </w:instrText>
      </w:r>
      <w:r>
        <w:fldChar w:fldCharType="separate"/>
      </w:r>
      <w:r>
        <w:rPr>
          <w:rStyle w:val="28"/>
          <w:b/>
          <w:bCs/>
          <w:color w:val="auto"/>
        </w:rPr>
        <w:t>5建设项目环评报告表的主要结论与建议及审批部门审批决定</w:t>
      </w:r>
      <w:r>
        <w:rPr>
          <w:b/>
          <w:bCs/>
        </w:rPr>
        <w:tab/>
      </w:r>
      <w:r>
        <w:rPr>
          <w:b/>
          <w:bCs/>
        </w:rPr>
        <w:fldChar w:fldCharType="begin"/>
      </w:r>
      <w:r>
        <w:rPr>
          <w:b/>
          <w:bCs/>
        </w:rPr>
        <w:instrText xml:space="preserve"> PAGEREF _Toc81808506 \h </w:instrText>
      </w:r>
      <w:r>
        <w:rPr>
          <w:b/>
          <w:bCs/>
        </w:rPr>
        <w:fldChar w:fldCharType="separate"/>
      </w:r>
      <w:r>
        <w:rPr>
          <w:b/>
          <w:bCs/>
        </w:rPr>
        <w:t>- 21 -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"_Toc81808507" </w:instrText>
      </w:r>
      <w:r>
        <w:fldChar w:fldCharType="separate"/>
      </w:r>
      <w:r>
        <w:rPr>
          <w:rStyle w:val="28"/>
          <w:color w:val="auto"/>
        </w:rPr>
        <w:t>5.1建设项目环评报告表的主要结论与建议</w:t>
      </w:r>
      <w:r>
        <w:tab/>
      </w:r>
      <w:r>
        <w:fldChar w:fldCharType="begin"/>
      </w:r>
      <w:r>
        <w:instrText xml:space="preserve"> PAGEREF _Toc81808507 \h </w:instrText>
      </w:r>
      <w:r>
        <w:fldChar w:fldCharType="separate"/>
      </w:r>
      <w:r>
        <w:t>- 21 -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"_Toc81808510" </w:instrText>
      </w:r>
      <w:r>
        <w:fldChar w:fldCharType="separate"/>
      </w:r>
      <w:r>
        <w:rPr>
          <w:rStyle w:val="28"/>
          <w:rFonts w:cs="Times New Roman"/>
          <w:color w:val="auto"/>
        </w:rPr>
        <w:t>5.2审批部门审批决定</w:t>
      </w:r>
      <w:r>
        <w:tab/>
      </w:r>
      <w:r>
        <w:fldChar w:fldCharType="begin"/>
      </w:r>
      <w:r>
        <w:instrText xml:space="preserve"> PAGEREF _Toc81808510 \h </w:instrText>
      </w:r>
      <w:r>
        <w:fldChar w:fldCharType="separate"/>
      </w:r>
      <w:r>
        <w:t>- 22 -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"_Toc81808511" </w:instrText>
      </w:r>
      <w:r>
        <w:fldChar w:fldCharType="separate"/>
      </w:r>
      <w:r>
        <w:rPr>
          <w:rStyle w:val="28"/>
          <w:b/>
          <w:bCs/>
          <w:color w:val="auto"/>
        </w:rPr>
        <w:t>6验收执行标准</w:t>
      </w:r>
      <w:r>
        <w:rPr>
          <w:b/>
          <w:bCs/>
        </w:rPr>
        <w:tab/>
      </w:r>
      <w:r>
        <w:rPr>
          <w:b/>
          <w:bCs/>
        </w:rPr>
        <w:fldChar w:fldCharType="begin"/>
      </w:r>
      <w:r>
        <w:rPr>
          <w:b/>
          <w:bCs/>
        </w:rPr>
        <w:instrText xml:space="preserve"> PAGEREF _Toc81808511 \h </w:instrText>
      </w:r>
      <w:r>
        <w:rPr>
          <w:b/>
          <w:bCs/>
        </w:rPr>
        <w:fldChar w:fldCharType="separate"/>
      </w:r>
      <w:r>
        <w:rPr>
          <w:b/>
          <w:bCs/>
        </w:rPr>
        <w:t>- 26 -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"_Toc81808512" </w:instrText>
      </w:r>
      <w:r>
        <w:fldChar w:fldCharType="separate"/>
      </w:r>
      <w:r>
        <w:rPr>
          <w:rStyle w:val="28"/>
          <w:color w:val="auto"/>
        </w:rPr>
        <w:t>6.1废水</w:t>
      </w:r>
      <w:r>
        <w:tab/>
      </w:r>
      <w:r>
        <w:fldChar w:fldCharType="begin"/>
      </w:r>
      <w:r>
        <w:instrText xml:space="preserve"> PAGEREF _Toc81808512 \h </w:instrText>
      </w:r>
      <w:r>
        <w:fldChar w:fldCharType="separate"/>
      </w:r>
      <w:r>
        <w:t>- 26 -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"_Toc81808513" </w:instrText>
      </w:r>
      <w:r>
        <w:fldChar w:fldCharType="separate"/>
      </w:r>
      <w:r>
        <w:rPr>
          <w:rStyle w:val="28"/>
          <w:color w:val="auto"/>
        </w:rPr>
        <w:t>6.2废气</w:t>
      </w:r>
      <w:r>
        <w:tab/>
      </w:r>
      <w:r>
        <w:fldChar w:fldCharType="begin"/>
      </w:r>
      <w:r>
        <w:instrText xml:space="preserve"> PAGEREF _Toc81808513 \h </w:instrText>
      </w:r>
      <w:r>
        <w:fldChar w:fldCharType="separate"/>
      </w:r>
      <w:r>
        <w:t>- 26 -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"_Toc81808514" </w:instrText>
      </w:r>
      <w:r>
        <w:fldChar w:fldCharType="separate"/>
      </w:r>
      <w:r>
        <w:rPr>
          <w:rStyle w:val="28"/>
          <w:color w:val="auto"/>
        </w:rPr>
        <w:t>6.3噪声</w:t>
      </w:r>
      <w:r>
        <w:tab/>
      </w:r>
      <w:r>
        <w:fldChar w:fldCharType="begin"/>
      </w:r>
      <w:r>
        <w:instrText xml:space="preserve"> PAGEREF _Toc81808514 \h </w:instrText>
      </w:r>
      <w:r>
        <w:fldChar w:fldCharType="separate"/>
      </w:r>
      <w:r>
        <w:t>- 27 -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"_Toc81808515" </w:instrText>
      </w:r>
      <w:r>
        <w:fldChar w:fldCharType="separate"/>
      </w:r>
      <w:r>
        <w:rPr>
          <w:rStyle w:val="28"/>
          <w:color w:val="auto"/>
        </w:rPr>
        <w:t>6.4固体废弃物</w:t>
      </w:r>
      <w:r>
        <w:tab/>
      </w:r>
      <w:r>
        <w:fldChar w:fldCharType="begin"/>
      </w:r>
      <w:r>
        <w:instrText xml:space="preserve"> PAGEREF _Toc81808515 \h </w:instrText>
      </w:r>
      <w:r>
        <w:fldChar w:fldCharType="separate"/>
      </w:r>
      <w:r>
        <w:t>- 28 -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"_Toc81808516" </w:instrText>
      </w:r>
      <w:r>
        <w:fldChar w:fldCharType="separate"/>
      </w:r>
      <w:r>
        <w:rPr>
          <w:rStyle w:val="28"/>
          <w:b/>
          <w:bCs/>
          <w:color w:val="auto"/>
        </w:rPr>
        <w:t>7 验收监测内容</w:t>
      </w:r>
      <w:r>
        <w:rPr>
          <w:b/>
          <w:bCs/>
        </w:rPr>
        <w:tab/>
      </w:r>
      <w:r>
        <w:rPr>
          <w:b/>
          <w:bCs/>
        </w:rPr>
        <w:fldChar w:fldCharType="begin"/>
      </w:r>
      <w:r>
        <w:rPr>
          <w:b/>
          <w:bCs/>
        </w:rPr>
        <w:instrText xml:space="preserve"> PAGEREF _Toc81808516 \h </w:instrText>
      </w:r>
      <w:r>
        <w:rPr>
          <w:b/>
          <w:bCs/>
        </w:rPr>
        <w:fldChar w:fldCharType="separate"/>
      </w:r>
      <w:r>
        <w:rPr>
          <w:b/>
          <w:bCs/>
        </w:rPr>
        <w:t>- 29 -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"_Toc81808517" </w:instrText>
      </w:r>
      <w:r>
        <w:fldChar w:fldCharType="separate"/>
      </w:r>
      <w:r>
        <w:rPr>
          <w:rStyle w:val="28"/>
          <w:color w:val="auto"/>
        </w:rPr>
        <w:t>7.1废水</w:t>
      </w:r>
      <w:r>
        <w:tab/>
      </w:r>
      <w:r>
        <w:fldChar w:fldCharType="begin"/>
      </w:r>
      <w:r>
        <w:instrText xml:space="preserve"> PAGEREF _Toc81808517 \h </w:instrText>
      </w:r>
      <w:r>
        <w:fldChar w:fldCharType="separate"/>
      </w:r>
      <w:r>
        <w:t>- 29 -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"_Toc81808518" </w:instrText>
      </w:r>
      <w:r>
        <w:fldChar w:fldCharType="separate"/>
      </w:r>
      <w:r>
        <w:rPr>
          <w:rStyle w:val="28"/>
          <w:color w:val="auto"/>
        </w:rPr>
        <w:t>7.2废气</w:t>
      </w:r>
      <w:r>
        <w:tab/>
      </w:r>
      <w:r>
        <w:fldChar w:fldCharType="begin"/>
      </w:r>
      <w:r>
        <w:instrText xml:space="preserve"> PAGEREF _Toc81808518 \h </w:instrText>
      </w:r>
      <w:r>
        <w:fldChar w:fldCharType="separate"/>
      </w:r>
      <w:r>
        <w:t>- 29 -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"_Toc81808519" </w:instrText>
      </w:r>
      <w:r>
        <w:fldChar w:fldCharType="separate"/>
      </w:r>
      <w:r>
        <w:rPr>
          <w:rStyle w:val="28"/>
          <w:rFonts w:cs="Times New Roman"/>
          <w:color w:val="auto"/>
          <w:kern w:val="44"/>
        </w:rPr>
        <w:t>7.3噪声</w:t>
      </w:r>
      <w:r>
        <w:tab/>
      </w:r>
      <w:r>
        <w:fldChar w:fldCharType="begin"/>
      </w:r>
      <w:r>
        <w:instrText xml:space="preserve"> PAGEREF _Toc81808519 \h </w:instrText>
      </w:r>
      <w:r>
        <w:fldChar w:fldCharType="separate"/>
      </w:r>
      <w:r>
        <w:t>- 29 -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"_Toc81808520" </w:instrText>
      </w:r>
      <w:r>
        <w:fldChar w:fldCharType="separate"/>
      </w:r>
      <w:r>
        <w:rPr>
          <w:rStyle w:val="28"/>
          <w:rFonts w:cs="Times New Roman"/>
          <w:color w:val="auto"/>
          <w:kern w:val="44"/>
        </w:rPr>
        <w:t>7.4固废</w:t>
      </w:r>
      <w:r>
        <w:tab/>
      </w:r>
      <w:r>
        <w:fldChar w:fldCharType="begin"/>
      </w:r>
      <w:r>
        <w:instrText xml:space="preserve"> PAGEREF _Toc81808520 \h </w:instrText>
      </w:r>
      <w:r>
        <w:fldChar w:fldCharType="separate"/>
      </w:r>
      <w:r>
        <w:t>- 30 -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"_Toc81808521" </w:instrText>
      </w:r>
      <w:r>
        <w:fldChar w:fldCharType="separate"/>
      </w:r>
      <w:r>
        <w:rPr>
          <w:rStyle w:val="28"/>
          <w:b/>
          <w:bCs/>
          <w:color w:val="auto"/>
        </w:rPr>
        <w:t>8 质量保证及质量控制</w:t>
      </w:r>
      <w:r>
        <w:rPr>
          <w:b/>
          <w:bCs/>
        </w:rPr>
        <w:tab/>
      </w:r>
      <w:r>
        <w:rPr>
          <w:b/>
          <w:bCs/>
        </w:rPr>
        <w:fldChar w:fldCharType="begin"/>
      </w:r>
      <w:r>
        <w:rPr>
          <w:b/>
          <w:bCs/>
        </w:rPr>
        <w:instrText xml:space="preserve"> PAGEREF _Toc81808521 \h </w:instrText>
      </w:r>
      <w:r>
        <w:rPr>
          <w:b/>
          <w:bCs/>
        </w:rPr>
        <w:fldChar w:fldCharType="separate"/>
      </w:r>
      <w:r>
        <w:rPr>
          <w:b/>
          <w:bCs/>
        </w:rPr>
        <w:t>- 31 -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"_Toc81808522" </w:instrText>
      </w:r>
      <w:r>
        <w:fldChar w:fldCharType="separate"/>
      </w:r>
      <w:r>
        <w:rPr>
          <w:rStyle w:val="28"/>
          <w:color w:val="auto"/>
        </w:rPr>
        <w:t>8.1监测分析方法</w:t>
      </w:r>
      <w:r>
        <w:tab/>
      </w:r>
      <w:r>
        <w:fldChar w:fldCharType="begin"/>
      </w:r>
      <w:r>
        <w:instrText xml:space="preserve"> PAGEREF _Toc81808522 \h </w:instrText>
      </w:r>
      <w:r>
        <w:fldChar w:fldCharType="separate"/>
      </w:r>
      <w:r>
        <w:t>- 31 -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"_Toc81808523" </w:instrText>
      </w:r>
      <w:r>
        <w:fldChar w:fldCharType="separate"/>
      </w:r>
      <w:r>
        <w:rPr>
          <w:rStyle w:val="28"/>
          <w:color w:val="auto"/>
        </w:rPr>
        <w:t>8.2监测仪器</w:t>
      </w:r>
      <w:r>
        <w:tab/>
      </w:r>
      <w:r>
        <w:fldChar w:fldCharType="begin"/>
      </w:r>
      <w:r>
        <w:instrText xml:space="preserve"> PAGEREF _Toc81808523 \h </w:instrText>
      </w:r>
      <w:r>
        <w:fldChar w:fldCharType="separate"/>
      </w:r>
      <w:r>
        <w:t>- 31 -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"_Toc81808524" </w:instrText>
      </w:r>
      <w:r>
        <w:fldChar w:fldCharType="separate"/>
      </w:r>
      <w:r>
        <w:rPr>
          <w:rStyle w:val="28"/>
          <w:color w:val="auto"/>
        </w:rPr>
        <w:t>8.3水质监测分析过程中的质量保证和质量控制</w:t>
      </w:r>
      <w:r>
        <w:tab/>
      </w:r>
      <w:r>
        <w:fldChar w:fldCharType="begin"/>
      </w:r>
      <w:r>
        <w:instrText xml:space="preserve"> PAGEREF _Toc81808524 \h </w:instrText>
      </w:r>
      <w:r>
        <w:fldChar w:fldCharType="separate"/>
      </w:r>
      <w:r>
        <w:t>- 32 -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"_Toc81808525" </w:instrText>
      </w:r>
      <w:r>
        <w:fldChar w:fldCharType="separate"/>
      </w:r>
      <w:r>
        <w:rPr>
          <w:rStyle w:val="28"/>
          <w:color w:val="auto"/>
        </w:rPr>
        <w:t>8.4废气监测分析过程中的质量保证和质量控制</w:t>
      </w:r>
      <w:r>
        <w:tab/>
      </w:r>
      <w:r>
        <w:fldChar w:fldCharType="begin"/>
      </w:r>
      <w:r>
        <w:instrText xml:space="preserve"> PAGEREF _Toc81808525 \h </w:instrText>
      </w:r>
      <w:r>
        <w:fldChar w:fldCharType="separate"/>
      </w:r>
      <w:r>
        <w:t>- 32 -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"_Toc81808526" </w:instrText>
      </w:r>
      <w:r>
        <w:fldChar w:fldCharType="separate"/>
      </w:r>
      <w:r>
        <w:rPr>
          <w:rStyle w:val="28"/>
          <w:color w:val="auto"/>
        </w:rPr>
        <w:t>8.5噪声监测分析过程中的质量保证和质量控制</w:t>
      </w:r>
      <w:r>
        <w:tab/>
      </w:r>
      <w:r>
        <w:fldChar w:fldCharType="begin"/>
      </w:r>
      <w:r>
        <w:instrText xml:space="preserve"> PAGEREF _Toc81808526 \h </w:instrText>
      </w:r>
      <w:r>
        <w:fldChar w:fldCharType="separate"/>
      </w:r>
      <w:r>
        <w:t>- 32 -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"_Toc81808527" </w:instrText>
      </w:r>
      <w:r>
        <w:fldChar w:fldCharType="separate"/>
      </w:r>
      <w:r>
        <w:rPr>
          <w:rStyle w:val="28"/>
          <w:b/>
          <w:bCs/>
          <w:color w:val="auto"/>
        </w:rPr>
        <w:t>9验收监测结果</w:t>
      </w:r>
      <w:r>
        <w:rPr>
          <w:b/>
          <w:bCs/>
        </w:rPr>
        <w:tab/>
      </w:r>
      <w:r>
        <w:rPr>
          <w:b/>
          <w:bCs/>
        </w:rPr>
        <w:fldChar w:fldCharType="begin"/>
      </w:r>
      <w:r>
        <w:rPr>
          <w:b/>
          <w:bCs/>
        </w:rPr>
        <w:instrText xml:space="preserve"> PAGEREF _Toc81808527 \h </w:instrText>
      </w:r>
      <w:r>
        <w:rPr>
          <w:b/>
          <w:bCs/>
        </w:rPr>
        <w:fldChar w:fldCharType="separate"/>
      </w:r>
      <w:r>
        <w:rPr>
          <w:b/>
          <w:bCs/>
        </w:rPr>
        <w:t>- 33 -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"_Toc81808528" </w:instrText>
      </w:r>
      <w:r>
        <w:fldChar w:fldCharType="separate"/>
      </w:r>
      <w:r>
        <w:rPr>
          <w:rStyle w:val="28"/>
          <w:color w:val="auto"/>
        </w:rPr>
        <w:t>9.1生产工况</w:t>
      </w:r>
      <w:r>
        <w:tab/>
      </w:r>
      <w:r>
        <w:fldChar w:fldCharType="begin"/>
      </w:r>
      <w:r>
        <w:instrText xml:space="preserve"> PAGEREF _Toc81808528 \h </w:instrText>
      </w:r>
      <w:r>
        <w:fldChar w:fldCharType="separate"/>
      </w:r>
      <w:r>
        <w:t>- 33 -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"_Toc81808529" </w:instrText>
      </w:r>
      <w:r>
        <w:fldChar w:fldCharType="separate"/>
      </w:r>
      <w:r>
        <w:rPr>
          <w:rStyle w:val="28"/>
          <w:color w:val="auto"/>
        </w:rPr>
        <w:t>9.2环境保护设施调试效果</w:t>
      </w:r>
      <w:r>
        <w:tab/>
      </w:r>
      <w:r>
        <w:fldChar w:fldCharType="begin"/>
      </w:r>
      <w:r>
        <w:instrText xml:space="preserve"> PAGEREF _Toc81808529 \h </w:instrText>
      </w:r>
      <w:r>
        <w:fldChar w:fldCharType="separate"/>
      </w:r>
      <w:r>
        <w:t>- 33 -</w:t>
      </w:r>
      <w:r>
        <w:fldChar w:fldCharType="end"/>
      </w:r>
      <w:r>
        <w:fldChar w:fldCharType="end"/>
      </w:r>
    </w:p>
    <w:p>
      <w:pPr>
        <w:pStyle w:val="16"/>
        <w:tabs>
          <w:tab w:val="right" w:leader="dot" w:pos="8494"/>
        </w:tabs>
        <w:rPr>
          <w:rFonts w:asciiTheme="minorHAnsi" w:hAnsiTheme="minorHAnsi" w:eastAsiaTheme="minorEastAsia"/>
          <w:b/>
          <w:bCs/>
          <w:sz w:val="21"/>
          <w:szCs w:val="22"/>
        </w:rPr>
      </w:pPr>
      <w:r>
        <w:fldChar w:fldCharType="begin"/>
      </w:r>
      <w:r>
        <w:instrText xml:space="preserve"> HYPERLINK \l "_Toc81808535" </w:instrText>
      </w:r>
      <w:r>
        <w:fldChar w:fldCharType="separate"/>
      </w:r>
      <w:r>
        <w:rPr>
          <w:rStyle w:val="28"/>
          <w:b/>
          <w:bCs/>
          <w:color w:val="auto"/>
        </w:rPr>
        <w:t>10验收监测结论</w:t>
      </w:r>
      <w:r>
        <w:rPr>
          <w:b/>
          <w:bCs/>
        </w:rPr>
        <w:tab/>
      </w:r>
      <w:r>
        <w:rPr>
          <w:b/>
          <w:bCs/>
        </w:rPr>
        <w:fldChar w:fldCharType="begin"/>
      </w:r>
      <w:r>
        <w:rPr>
          <w:b/>
          <w:bCs/>
        </w:rPr>
        <w:instrText xml:space="preserve"> PAGEREF _Toc81808535 \h </w:instrText>
      </w:r>
      <w:r>
        <w:rPr>
          <w:b/>
          <w:bCs/>
        </w:rPr>
        <w:fldChar w:fldCharType="separate"/>
      </w:r>
      <w:r>
        <w:rPr>
          <w:b/>
          <w:bCs/>
        </w:rPr>
        <w:t>- 46 -</w:t>
      </w:r>
      <w:r>
        <w:rPr>
          <w:b/>
          <w:bCs/>
        </w:rPr>
        <w:fldChar w:fldCharType="end"/>
      </w:r>
      <w:r>
        <w:rPr>
          <w:b/>
          <w:bCs/>
        </w:rP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"_Toc81808536" </w:instrText>
      </w:r>
      <w:r>
        <w:fldChar w:fldCharType="separate"/>
      </w:r>
      <w:r>
        <w:rPr>
          <w:rStyle w:val="28"/>
          <w:color w:val="auto"/>
        </w:rPr>
        <w:t>10.1生产工况</w:t>
      </w:r>
      <w:r>
        <w:tab/>
      </w:r>
      <w:r>
        <w:fldChar w:fldCharType="begin"/>
      </w:r>
      <w:r>
        <w:instrText xml:space="preserve"> PAGEREF _Toc81808536 \h </w:instrText>
      </w:r>
      <w:r>
        <w:fldChar w:fldCharType="separate"/>
      </w:r>
      <w:r>
        <w:t>- 46 -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"_Toc81808537" </w:instrText>
      </w:r>
      <w:r>
        <w:fldChar w:fldCharType="separate"/>
      </w:r>
      <w:r>
        <w:rPr>
          <w:rStyle w:val="28"/>
          <w:color w:val="auto"/>
        </w:rPr>
        <w:t>10.2废水</w:t>
      </w:r>
      <w:r>
        <w:tab/>
      </w:r>
      <w:r>
        <w:fldChar w:fldCharType="begin"/>
      </w:r>
      <w:r>
        <w:instrText xml:space="preserve"> PAGEREF _Toc81808537 \h </w:instrText>
      </w:r>
      <w:r>
        <w:fldChar w:fldCharType="separate"/>
      </w:r>
      <w:r>
        <w:t>- 46 -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"_Toc81808538" </w:instrText>
      </w:r>
      <w:r>
        <w:fldChar w:fldCharType="separate"/>
      </w:r>
      <w:r>
        <w:rPr>
          <w:rStyle w:val="28"/>
          <w:color w:val="auto"/>
        </w:rPr>
        <w:t>10.3废气</w:t>
      </w:r>
      <w:r>
        <w:tab/>
      </w:r>
      <w:r>
        <w:fldChar w:fldCharType="begin"/>
      </w:r>
      <w:r>
        <w:instrText xml:space="preserve"> PAGEREF _Toc81808538 \h </w:instrText>
      </w:r>
      <w:r>
        <w:fldChar w:fldCharType="separate"/>
      </w:r>
      <w:r>
        <w:t>- 46 -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"_Toc81808539" </w:instrText>
      </w:r>
      <w:r>
        <w:fldChar w:fldCharType="separate"/>
      </w:r>
      <w:r>
        <w:rPr>
          <w:rStyle w:val="28"/>
          <w:rFonts w:cs="Times New Roman"/>
          <w:color w:val="auto"/>
        </w:rPr>
        <w:t>10.4噪声</w:t>
      </w:r>
      <w:r>
        <w:tab/>
      </w:r>
      <w:r>
        <w:fldChar w:fldCharType="begin"/>
      </w:r>
      <w:r>
        <w:instrText xml:space="preserve"> PAGEREF _Toc81808539 \h </w:instrText>
      </w:r>
      <w:r>
        <w:fldChar w:fldCharType="separate"/>
      </w:r>
      <w:r>
        <w:t>- 46 -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"_Toc81808540" </w:instrText>
      </w:r>
      <w:r>
        <w:fldChar w:fldCharType="separate"/>
      </w:r>
      <w:r>
        <w:rPr>
          <w:rStyle w:val="28"/>
          <w:rFonts w:cs="Times New Roman"/>
          <w:color w:val="auto"/>
        </w:rPr>
        <w:t>10.5固体废弃物</w:t>
      </w:r>
      <w:r>
        <w:tab/>
      </w:r>
      <w:r>
        <w:fldChar w:fldCharType="begin"/>
      </w:r>
      <w:r>
        <w:instrText xml:space="preserve"> PAGEREF _Toc81808540 \h </w:instrText>
      </w:r>
      <w:r>
        <w:fldChar w:fldCharType="separate"/>
      </w:r>
      <w:r>
        <w:t>- 47 -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"_Toc81808541" </w:instrText>
      </w:r>
      <w:r>
        <w:fldChar w:fldCharType="separate"/>
      </w:r>
      <w:r>
        <w:rPr>
          <w:rStyle w:val="28"/>
          <w:rFonts w:cs="Times New Roman"/>
          <w:color w:val="auto"/>
        </w:rPr>
        <w:t>10.6总量控制</w:t>
      </w:r>
      <w:r>
        <w:tab/>
      </w:r>
      <w:r>
        <w:fldChar w:fldCharType="begin"/>
      </w:r>
      <w:r>
        <w:instrText xml:space="preserve"> PAGEREF _Toc81808541 \h </w:instrText>
      </w:r>
      <w:r>
        <w:fldChar w:fldCharType="separate"/>
      </w:r>
      <w:r>
        <w:t>- 47 -</w:t>
      </w:r>
      <w:r>
        <w:fldChar w:fldCharType="end"/>
      </w:r>
      <w:r>
        <w:fldChar w:fldCharType="end"/>
      </w:r>
    </w:p>
    <w:p>
      <w:pPr>
        <w:pStyle w:val="18"/>
        <w:tabs>
          <w:tab w:val="right" w:leader="dot" w:pos="8494"/>
        </w:tabs>
        <w:ind w:firstLine="480"/>
        <w:rPr>
          <w:rFonts w:asciiTheme="minorHAnsi" w:hAnsiTheme="minorHAnsi"/>
          <w:sz w:val="21"/>
          <w:szCs w:val="22"/>
        </w:rPr>
      </w:pPr>
      <w:r>
        <w:fldChar w:fldCharType="begin"/>
      </w:r>
      <w:r>
        <w:instrText xml:space="preserve"> HYPERLINK \l "_Toc81808542" </w:instrText>
      </w:r>
      <w:r>
        <w:fldChar w:fldCharType="separate"/>
      </w:r>
      <w:r>
        <w:rPr>
          <w:rStyle w:val="28"/>
          <w:color w:val="auto"/>
        </w:rPr>
        <w:t>10.7结论</w:t>
      </w:r>
      <w:r>
        <w:tab/>
      </w:r>
      <w:r>
        <w:fldChar w:fldCharType="begin"/>
      </w:r>
      <w:r>
        <w:instrText xml:space="preserve"> PAGEREF _Toc81808542 \h </w:instrText>
      </w:r>
      <w:r>
        <w:fldChar w:fldCharType="separate"/>
      </w:r>
      <w:r>
        <w:t>- 47 -</w:t>
      </w:r>
      <w:r>
        <w:fldChar w:fldCharType="end"/>
      </w:r>
      <w:r>
        <w:fldChar w:fldCharType="end"/>
      </w:r>
    </w:p>
    <w:p>
      <w:pPr>
        <w:ind w:firstLine="480"/>
        <w:rPr>
          <w:rFonts w:cs="Times New Roman"/>
          <w:bCs/>
          <w:szCs w:val="36"/>
        </w:rPr>
      </w:pPr>
      <w:r>
        <w:rPr>
          <w:rFonts w:cs="Times New Roman"/>
          <w:bCs/>
          <w:szCs w:val="36"/>
        </w:rPr>
        <w:fldChar w:fldCharType="end"/>
      </w:r>
    </w:p>
    <w:p>
      <w:pPr>
        <w:ind w:left="964" w:hanging="964" w:hangingChars="400"/>
        <w:rPr>
          <w:rFonts w:cs="Times New Roman"/>
          <w:b/>
          <w:bCs/>
        </w:rPr>
      </w:pPr>
      <w:r>
        <w:rPr>
          <w:rFonts w:cs="Times New Roman"/>
          <w:b/>
          <w:bCs/>
        </w:rPr>
        <w:t>附件：</w:t>
      </w:r>
    </w:p>
    <w:p>
      <w:pPr>
        <w:ind w:firstLine="480"/>
        <w:rPr>
          <w:rFonts w:cs="Times New Roman"/>
        </w:rPr>
      </w:pPr>
      <w:r>
        <w:rPr>
          <w:rFonts w:cs="Times New Roman"/>
        </w:rPr>
        <w:t xml:space="preserve">附件1 </w:t>
      </w:r>
      <w:r>
        <w:rPr>
          <w:rFonts w:hint="eastAsia" w:cs="Times New Roman"/>
        </w:rPr>
        <w:t>营业执照</w:t>
      </w:r>
    </w:p>
    <w:p>
      <w:pPr>
        <w:ind w:firstLine="480"/>
        <w:rPr>
          <w:rFonts w:cs="Times New Roman"/>
        </w:rPr>
      </w:pPr>
      <w:r>
        <w:rPr>
          <w:rFonts w:cs="Times New Roman"/>
        </w:rPr>
        <w:t>附件2 环评</w:t>
      </w:r>
      <w:r>
        <w:rPr>
          <w:rFonts w:hint="eastAsia" w:cs="Times New Roman"/>
        </w:rPr>
        <w:t>批复</w:t>
      </w:r>
    </w:p>
    <w:p>
      <w:pPr>
        <w:ind w:firstLine="480"/>
      </w:pPr>
      <w:r>
        <w:rPr>
          <w:rFonts w:hint="eastAsia"/>
        </w:rPr>
        <w:t>附件3</w:t>
      </w:r>
      <w:r>
        <w:t xml:space="preserve"> </w:t>
      </w:r>
      <w:r>
        <w:rPr>
          <w:rFonts w:hint="eastAsia"/>
        </w:rPr>
        <w:t>排污许可证</w:t>
      </w:r>
    </w:p>
    <w:p>
      <w:pPr>
        <w:ind w:firstLine="480"/>
        <w:rPr>
          <w:rFonts w:cs="Times New Roman"/>
        </w:rPr>
      </w:pPr>
      <w:r>
        <w:rPr>
          <w:rFonts w:cs="Times New Roman"/>
        </w:rPr>
        <w:t xml:space="preserve">附件4 </w:t>
      </w:r>
      <w:r>
        <w:rPr>
          <w:rFonts w:hint="eastAsia" w:cs="Times New Roman"/>
        </w:rPr>
        <w:t>公司用水情况</w:t>
      </w:r>
    </w:p>
    <w:p>
      <w:pPr>
        <w:ind w:firstLine="480"/>
        <w:rPr>
          <w:rFonts w:cs="Times New Roman"/>
        </w:rPr>
      </w:pPr>
      <w:r>
        <w:rPr>
          <w:rFonts w:cs="Times New Roman"/>
        </w:rPr>
        <w:t xml:space="preserve">附件5 </w:t>
      </w:r>
      <w:r>
        <w:rPr>
          <w:rFonts w:hint="eastAsia" w:cs="Times New Roman"/>
        </w:rPr>
        <w:t>检测报告</w:t>
      </w:r>
    </w:p>
    <w:p>
      <w:pPr>
        <w:ind w:firstLine="480"/>
        <w:rPr>
          <w:rFonts w:cs="Times New Roman"/>
        </w:rPr>
      </w:pPr>
      <w:r>
        <w:rPr>
          <w:rFonts w:hint="eastAsia" w:cs="Times New Roman"/>
        </w:rPr>
        <w:t>附件6</w:t>
      </w:r>
      <w:r>
        <w:rPr>
          <w:rFonts w:cs="Times New Roman"/>
        </w:rPr>
        <w:t xml:space="preserve"> </w:t>
      </w:r>
      <w:r>
        <w:rPr>
          <w:rFonts w:hint="eastAsia" w:cs="Times New Roman"/>
        </w:rPr>
        <w:t>公司生产日报表</w:t>
      </w:r>
    </w:p>
    <w:p>
      <w:pPr>
        <w:ind w:firstLine="480"/>
        <w:rPr>
          <w:rFonts w:cs="Times New Roman"/>
        </w:rPr>
      </w:pPr>
      <w:r>
        <w:rPr>
          <w:rFonts w:hint="eastAsia" w:cs="Times New Roman"/>
        </w:rPr>
        <w:t>附件</w:t>
      </w:r>
      <w:r>
        <w:rPr>
          <w:rFonts w:cs="Times New Roman"/>
        </w:rPr>
        <w:t xml:space="preserve">7 </w:t>
      </w:r>
      <w:r>
        <w:rPr>
          <w:rFonts w:hint="eastAsia" w:cs="Times New Roman"/>
        </w:rPr>
        <w:t>公司生产设备一览表</w:t>
      </w:r>
    </w:p>
    <w:p>
      <w:pPr>
        <w:ind w:firstLine="480"/>
        <w:rPr>
          <w:rFonts w:cs="Times New Roman"/>
        </w:rPr>
      </w:pPr>
      <w:r>
        <w:rPr>
          <w:rFonts w:hint="eastAsia" w:cs="Times New Roman"/>
        </w:rPr>
        <w:t>附件</w:t>
      </w:r>
      <w:r>
        <w:rPr>
          <w:rFonts w:cs="Times New Roman"/>
        </w:rPr>
        <w:t xml:space="preserve">8 </w:t>
      </w:r>
      <w:r>
        <w:rPr>
          <w:rFonts w:hint="eastAsia" w:cs="Times New Roman"/>
        </w:rPr>
        <w:t>公司原辅材料消耗统计表</w:t>
      </w:r>
    </w:p>
    <w:p>
      <w:pPr>
        <w:ind w:firstLine="480"/>
      </w:pPr>
      <w:r>
        <w:rPr>
          <w:rFonts w:hint="eastAsia"/>
        </w:rPr>
        <w:t>附件9</w:t>
      </w:r>
      <w:r>
        <w:t xml:space="preserve"> </w:t>
      </w:r>
      <w:r>
        <w:rPr>
          <w:rFonts w:hint="eastAsia"/>
        </w:rPr>
        <w:t>危废处置协议</w:t>
      </w:r>
    </w:p>
    <w:p>
      <w:pPr>
        <w:pStyle w:val="2"/>
        <w:ind w:left="0" w:leftChars="0" w:firstLine="480"/>
      </w:pPr>
      <w:r>
        <w:rPr>
          <w:rFonts w:hint="eastAsia"/>
        </w:rPr>
        <w:t>附件1</w:t>
      </w:r>
      <w:r>
        <w:t xml:space="preserve">0 </w:t>
      </w:r>
      <w:r>
        <w:rPr>
          <w:rFonts w:hint="eastAsia"/>
        </w:rPr>
        <w:t>环境管理规章制度</w:t>
      </w:r>
    </w:p>
    <w:p>
      <w:pPr>
        <w:pStyle w:val="2"/>
        <w:ind w:left="0" w:leftChars="0" w:firstLine="0" w:firstLineChars="0"/>
        <w:rPr>
          <w:b/>
          <w:bCs/>
        </w:rPr>
      </w:pPr>
      <w:r>
        <w:rPr>
          <w:rFonts w:hint="eastAsia"/>
          <w:b/>
          <w:bCs/>
        </w:rPr>
        <w:t>附图：</w:t>
      </w:r>
    </w:p>
    <w:p>
      <w:pPr>
        <w:ind w:firstLine="480"/>
      </w:pPr>
      <w:r>
        <w:rPr>
          <w:rFonts w:hint="eastAsia"/>
        </w:rPr>
        <w:t>附图1</w:t>
      </w:r>
      <w:r>
        <w:t xml:space="preserve"> </w:t>
      </w:r>
      <w:r>
        <w:rPr>
          <w:rFonts w:hint="eastAsia"/>
        </w:rPr>
        <w:t>卫生防护距离包络线图</w:t>
      </w:r>
    </w:p>
    <w:p>
      <w:pPr>
        <w:pStyle w:val="4"/>
        <w:numPr>
          <w:ilvl w:val="0"/>
          <w:numId w:val="1"/>
        </w:numPr>
        <w:rPr>
          <w:rFonts w:cs="Times New Roman"/>
          <w:sz w:val="24"/>
          <w:szCs w:val="24"/>
        </w:rPr>
        <w:sectPr>
          <w:headerReference r:id="rId18" w:type="first"/>
          <w:footerReference r:id="rId20" w:type="first"/>
          <w:footerReference r:id="rId19" w:type="default"/>
          <w:pgSz w:w="11906" w:h="16838"/>
          <w:pgMar w:top="1418" w:right="1701" w:bottom="1418" w:left="1701" w:header="851" w:footer="992" w:gutter="0"/>
          <w:pgNumType w:fmt="upperRoman" w:start="1"/>
          <w:cols w:space="425" w:num="1"/>
          <w:titlePg/>
          <w:docGrid w:type="lines" w:linePitch="312" w:charSpace="0"/>
        </w:sectPr>
      </w:pPr>
      <w:bookmarkStart w:id="6" w:name="_Toc515273902"/>
    </w:p>
    <w:p>
      <w:pPr>
        <w:pStyle w:val="4"/>
      </w:pPr>
      <w:bookmarkStart w:id="7" w:name="_Toc81808486"/>
      <w:r>
        <w:rPr>
          <w:rFonts w:hint="eastAsia"/>
        </w:rPr>
        <w:t>1</w:t>
      </w:r>
      <w:r>
        <w:t xml:space="preserve"> 验收项目概况</w:t>
      </w:r>
      <w:bookmarkEnd w:id="6"/>
      <w:bookmarkEnd w:id="7"/>
    </w:p>
    <w:p>
      <w:pPr>
        <w:ind w:firstLine="480"/>
        <w:rPr>
          <w:rFonts w:cs="Times New Roman"/>
        </w:rPr>
      </w:pPr>
      <w:bookmarkStart w:id="8" w:name="_Hlk86159407"/>
      <w:bookmarkStart w:id="9" w:name="_Hlk68790191"/>
      <w:r>
        <w:rPr>
          <w:rFonts w:hint="eastAsia" w:cs="Times New Roman"/>
        </w:rPr>
        <w:t>桐乡市诺派纺织科技有限公司计划投资4865万元，购置国内外先进的整经机、剑杆机、涂层机、热转移印花机、烫金机、复合机、打卷机、压花机、验布机等相关设备，租赁桐乡市炬力塑胶股份有限公司位于桐乡市洲泉镇工业功能区中小企业分区中河路158号的5000m</w:t>
      </w:r>
      <w:r>
        <w:rPr>
          <w:rFonts w:hint="eastAsia" w:cs="Times New Roman"/>
          <w:vertAlign w:val="superscript"/>
        </w:rPr>
        <w:t>2</w:t>
      </w:r>
      <w:r>
        <w:rPr>
          <w:rFonts w:hint="eastAsia" w:cs="Times New Roman"/>
        </w:rPr>
        <w:t>闲置厂房，实施年产500万米功能性装饰面料建设项目（其中涂层布3</w:t>
      </w:r>
      <w:r>
        <w:rPr>
          <w:rFonts w:cs="Times New Roman"/>
        </w:rPr>
        <w:t>32万米</w:t>
      </w:r>
      <w:r>
        <w:rPr>
          <w:rFonts w:hint="eastAsia" w:cs="Times New Roman"/>
        </w:rPr>
        <w:t>/年，复合布1</w:t>
      </w:r>
      <w:r>
        <w:rPr>
          <w:rFonts w:cs="Times New Roman"/>
        </w:rPr>
        <w:t>68万米</w:t>
      </w:r>
      <w:r>
        <w:rPr>
          <w:rFonts w:hint="eastAsia" w:cs="Times New Roman"/>
        </w:rPr>
        <w:t>/</w:t>
      </w:r>
      <w:r>
        <w:rPr>
          <w:rFonts w:cs="Times New Roman"/>
        </w:rPr>
        <w:t>年</w:t>
      </w:r>
      <w:r>
        <w:rPr>
          <w:rFonts w:hint="eastAsia" w:cs="Times New Roman"/>
        </w:rPr>
        <w:t>）。</w:t>
      </w:r>
    </w:p>
    <w:bookmarkEnd w:id="8"/>
    <w:p>
      <w:pPr>
        <w:ind w:firstLine="480"/>
        <w:rPr>
          <w:rFonts w:cs="Times New Roman"/>
        </w:rPr>
      </w:pPr>
      <w:r>
        <w:rPr>
          <w:rFonts w:hint="eastAsia" w:cs="Times New Roman"/>
        </w:rPr>
        <w:t>公司于</w:t>
      </w:r>
      <w:r>
        <w:rPr>
          <w:rFonts w:cs="Times New Roman"/>
        </w:rPr>
        <w:t>2021</w:t>
      </w:r>
      <w:r>
        <w:rPr>
          <w:rFonts w:hint="eastAsia" w:cs="Times New Roman"/>
        </w:rPr>
        <w:t>年7月委托杭州环保科技咨询有限公司编制了《桐乡市诺派纺织科技有限公司年产5</w:t>
      </w:r>
      <w:r>
        <w:rPr>
          <w:rFonts w:cs="Times New Roman"/>
        </w:rPr>
        <w:t>00万米功能性装饰面料建设项目环境影响报告书</w:t>
      </w:r>
      <w:r>
        <w:rPr>
          <w:rFonts w:hint="eastAsia" w:cs="Times New Roman"/>
        </w:rPr>
        <w:t>》，于2</w:t>
      </w:r>
      <w:r>
        <w:rPr>
          <w:rFonts w:cs="Times New Roman"/>
        </w:rPr>
        <w:t>021年</w:t>
      </w:r>
      <w:r>
        <w:rPr>
          <w:rFonts w:hint="eastAsia" w:cs="Times New Roman"/>
        </w:rPr>
        <w:t>8月5日嘉兴市生态环境局桐乡分局以“嘉环桐建[2</w:t>
      </w:r>
      <w:r>
        <w:rPr>
          <w:rFonts w:cs="Times New Roman"/>
        </w:rPr>
        <w:t>021</w:t>
      </w:r>
      <w:r>
        <w:rPr>
          <w:rFonts w:hint="eastAsia" w:cs="Times New Roman"/>
        </w:rPr>
        <w:t>]</w:t>
      </w:r>
      <w:r>
        <w:rPr>
          <w:rFonts w:cs="Times New Roman"/>
        </w:rPr>
        <w:t>0158</w:t>
      </w:r>
      <w:r>
        <w:rPr>
          <w:rFonts w:hint="eastAsia" w:cs="Times New Roman"/>
        </w:rPr>
        <w:t>号”对该项目通过环保审批。</w:t>
      </w:r>
    </w:p>
    <w:p>
      <w:pPr>
        <w:ind w:firstLine="480"/>
        <w:rPr>
          <w:rFonts w:cs="Times New Roman"/>
        </w:rPr>
      </w:pPr>
      <w:r>
        <w:rPr>
          <w:rFonts w:hint="eastAsia" w:cs="Times New Roman"/>
        </w:rPr>
        <w:t>本项目实际投资</w:t>
      </w:r>
      <w:r>
        <w:rPr>
          <w:rFonts w:cs="Times New Roman"/>
        </w:rPr>
        <w:t>2890</w:t>
      </w:r>
      <w:r>
        <w:rPr>
          <w:rFonts w:hint="eastAsia" w:cs="Times New Roman"/>
        </w:rPr>
        <w:t>万元，其中环保投资</w:t>
      </w:r>
      <w:r>
        <w:rPr>
          <w:rFonts w:cs="Times New Roman"/>
        </w:rPr>
        <w:t>142</w:t>
      </w:r>
      <w:r>
        <w:rPr>
          <w:rFonts w:hint="eastAsia" w:cs="Times New Roman"/>
        </w:rPr>
        <w:t>万元，环保投资比例为</w:t>
      </w:r>
      <w:r>
        <w:rPr>
          <w:rFonts w:cs="Times New Roman"/>
        </w:rPr>
        <w:t>4.91</w:t>
      </w:r>
      <w:r>
        <w:rPr>
          <w:rFonts w:hint="eastAsia" w:cs="Times New Roman"/>
        </w:rPr>
        <w:t>%，租赁桐乡市炬力塑胶股份有限公司位于桐乡市洲泉镇工业功能区中小企业分区中河路158号的5000m</w:t>
      </w:r>
      <w:r>
        <w:rPr>
          <w:rFonts w:hint="eastAsia" w:cs="Times New Roman"/>
          <w:vertAlign w:val="superscript"/>
        </w:rPr>
        <w:t>2</w:t>
      </w:r>
      <w:r>
        <w:rPr>
          <w:rFonts w:hint="eastAsia" w:cs="Times New Roman"/>
        </w:rPr>
        <w:t>闲置厂房，购置涂层机2台、复合机1台、空压机1台等设备。目前公司整经机、剑杆机、转移印花设备（含印刷机、转移印花机）、烫金机、打卷机、压花机暂未购置，实际产能为年产5</w:t>
      </w:r>
      <w:r>
        <w:rPr>
          <w:rFonts w:cs="Times New Roman"/>
        </w:rPr>
        <w:t>00万米功能性装饰面料</w:t>
      </w:r>
      <w:bookmarkEnd w:id="9"/>
      <w:r>
        <w:rPr>
          <w:rFonts w:hint="eastAsia" w:cs="Times New Roman"/>
        </w:rPr>
        <w:t>（其中涂层布3</w:t>
      </w:r>
      <w:r>
        <w:rPr>
          <w:rFonts w:cs="Times New Roman"/>
        </w:rPr>
        <w:t>32万米</w:t>
      </w:r>
      <w:r>
        <w:rPr>
          <w:rFonts w:hint="eastAsia" w:cs="Times New Roman"/>
        </w:rPr>
        <w:t>/年，复合布1</w:t>
      </w:r>
      <w:r>
        <w:rPr>
          <w:rFonts w:cs="Times New Roman"/>
        </w:rPr>
        <w:t>68万米</w:t>
      </w:r>
      <w:r>
        <w:rPr>
          <w:rFonts w:hint="eastAsia" w:cs="Times New Roman"/>
        </w:rPr>
        <w:t>/年，企业原计划布料经烫金、转移印花后再进行复合，目前企业实际外购布料进厂后直接进行复合）。</w:t>
      </w:r>
    </w:p>
    <w:p>
      <w:pPr>
        <w:ind w:firstLine="480"/>
        <w:rPr>
          <w:rFonts w:cs="Times New Roman"/>
        </w:rPr>
      </w:pPr>
      <w:r>
        <w:rPr>
          <w:rFonts w:hint="eastAsia"/>
        </w:rPr>
        <w:t>本项目开工时间为2021年9月，于2022年7月完成对主体工程及配套环保设备工程的建设并投入试运行，于2022年8月正式投入试生产，环保手续齐全，已实施部分主要生产设施和环保设施运行正常，无重大变动，已具备环保设施竣工验收条件。故公司决定按规定程序对已实施工程启动建设项目环境保护阶段性竣工验收工作</w:t>
      </w:r>
      <w:r>
        <w:rPr>
          <w:rFonts w:hint="eastAsia" w:cs="Times New Roman"/>
        </w:rPr>
        <w:t>。</w:t>
      </w:r>
    </w:p>
    <w:p>
      <w:pPr>
        <w:ind w:firstLine="480"/>
        <w:rPr>
          <w:rFonts w:cs="Times New Roman"/>
        </w:rPr>
      </w:pPr>
      <w:r>
        <w:rPr>
          <w:rFonts w:hint="eastAsia" w:cs="Times New Roman"/>
        </w:rPr>
        <w:t>根据《建设项目竣工环境保护验收暂行办法》(国环规环评[2017]4号)以及《浙江省建设项目环境保护管理办法（2021年修正）》(浙江省人民政府令第388号)，我公司分别于2022年</w:t>
      </w:r>
      <w:r>
        <w:rPr>
          <w:rFonts w:cs="Times New Roman"/>
        </w:rPr>
        <w:t>9</w:t>
      </w:r>
      <w:r>
        <w:rPr>
          <w:rFonts w:hint="eastAsia" w:cs="Times New Roman"/>
        </w:rPr>
        <w:t>月</w:t>
      </w:r>
      <w:r>
        <w:rPr>
          <w:rFonts w:cs="Times New Roman"/>
        </w:rPr>
        <w:t>2</w:t>
      </w:r>
      <w:r>
        <w:rPr>
          <w:rFonts w:hint="eastAsia" w:cs="Times New Roman"/>
        </w:rPr>
        <w:t>日、</w:t>
      </w:r>
      <w:r>
        <w:rPr>
          <w:rFonts w:cs="Times New Roman"/>
        </w:rPr>
        <w:t>9</w:t>
      </w:r>
      <w:r>
        <w:rPr>
          <w:rFonts w:hint="eastAsia" w:cs="Times New Roman"/>
        </w:rPr>
        <w:t>月</w:t>
      </w:r>
      <w:r>
        <w:rPr>
          <w:rFonts w:cs="Times New Roman"/>
        </w:rPr>
        <w:t>3</w:t>
      </w:r>
      <w:r>
        <w:rPr>
          <w:rFonts w:hint="eastAsia" w:cs="Times New Roman"/>
        </w:rPr>
        <w:t>日、</w:t>
      </w:r>
      <w:r>
        <w:rPr>
          <w:rFonts w:hint="eastAsia" w:cs="Times New Roman"/>
          <w:color w:val="FF0000"/>
        </w:rPr>
        <w:t>1</w:t>
      </w:r>
      <w:r>
        <w:rPr>
          <w:rFonts w:cs="Times New Roman"/>
          <w:color w:val="FF0000"/>
        </w:rPr>
        <w:t>1月</w:t>
      </w:r>
      <w:r>
        <w:rPr>
          <w:rFonts w:hint="eastAsia" w:cs="Times New Roman"/>
          <w:color w:val="FF0000"/>
        </w:rPr>
        <w:t>3</w:t>
      </w:r>
      <w:r>
        <w:rPr>
          <w:rFonts w:cs="Times New Roman"/>
          <w:color w:val="FF0000"/>
        </w:rPr>
        <w:t>0日、</w:t>
      </w:r>
      <w:r>
        <w:rPr>
          <w:rFonts w:hint="eastAsia" w:cs="Times New Roman"/>
          <w:color w:val="FF0000"/>
        </w:rPr>
        <w:t>1</w:t>
      </w:r>
      <w:r>
        <w:rPr>
          <w:rFonts w:cs="Times New Roman"/>
          <w:color w:val="FF0000"/>
        </w:rPr>
        <w:t>2月</w:t>
      </w:r>
      <w:r>
        <w:rPr>
          <w:rFonts w:hint="eastAsia" w:cs="Times New Roman"/>
          <w:color w:val="FF0000"/>
        </w:rPr>
        <w:t>1日委托浙江泓远检测科技有限公司对本项目已实施部分废水、废气、噪声进行现场验收监测。</w:t>
      </w:r>
      <w:r>
        <w:rPr>
          <w:rFonts w:hint="eastAsia" w:cs="Times New Roman"/>
        </w:rPr>
        <w:t>另外，我公司于对该项目“三同时”执行情况、环境保护设施建设、环境保护管理、绿化等方面进行了检查，在综合分析现场监测数据和相关资料的基础上，编写了《桐乡市诺派纺织科技有限公司年产500万米功能性装饰面料建设项目竣工环境保护阶段性验收监测报告》</w:t>
      </w:r>
      <w:r>
        <w:rPr>
          <w:rFonts w:cs="Times New Roman"/>
        </w:rPr>
        <w:t>。</w:t>
      </w:r>
    </w:p>
    <w:p>
      <w:pPr>
        <w:pStyle w:val="4"/>
        <w:sectPr>
          <w:headerReference r:id="rId21" w:type="first"/>
          <w:footerReference r:id="rId22" w:type="first"/>
          <w:pgSz w:w="11906" w:h="16838"/>
          <w:pgMar w:top="1418" w:right="1701" w:bottom="1418" w:left="1701" w:header="851" w:footer="992" w:gutter="0"/>
          <w:pgNumType w:fmt="numberInDash"/>
          <w:cols w:space="425" w:num="1"/>
          <w:titlePg/>
          <w:docGrid w:type="lines" w:linePitch="312" w:charSpace="0"/>
        </w:sectPr>
      </w:pPr>
      <w:bookmarkStart w:id="10" w:name="_Toc81808487"/>
    </w:p>
    <w:p>
      <w:pPr>
        <w:pStyle w:val="4"/>
      </w:pPr>
      <w:r>
        <w:rPr>
          <w:rFonts w:hint="eastAsia"/>
        </w:rPr>
        <w:t>2</w:t>
      </w:r>
      <w:r>
        <w:t xml:space="preserve"> 验收依据</w:t>
      </w:r>
      <w:bookmarkEnd w:id="10"/>
    </w:p>
    <w:p>
      <w:pPr>
        <w:ind w:firstLine="480"/>
      </w:pPr>
      <w:r>
        <w:rPr>
          <w:rFonts w:hint="eastAsia"/>
        </w:rPr>
        <w:t>1、</w:t>
      </w:r>
      <w:r>
        <w:t>《中华人民共和国环境保护法》</w:t>
      </w:r>
      <w:r>
        <w:rPr>
          <w:lang w:val="zh-CN"/>
        </w:rPr>
        <w:t>（2015年1月1日</w:t>
      </w:r>
      <w:r>
        <w:rPr>
          <w:rFonts w:hint="eastAsia"/>
          <w:lang w:val="zh-CN"/>
        </w:rPr>
        <w:t>起施行</w:t>
      </w:r>
      <w:r>
        <w:rPr>
          <w:lang w:val="zh-CN"/>
        </w:rPr>
        <w:t>）；</w:t>
      </w:r>
    </w:p>
    <w:p>
      <w:pPr>
        <w:ind w:firstLine="480"/>
        <w:rPr>
          <w:lang w:val="zh-CN"/>
        </w:rPr>
      </w:pPr>
      <w:r>
        <w:t>2</w:t>
      </w:r>
      <w:r>
        <w:rPr>
          <w:rFonts w:hint="eastAsia"/>
        </w:rPr>
        <w:t>、</w:t>
      </w:r>
      <w:r>
        <w:rPr>
          <w:lang w:val="zh-CN"/>
        </w:rPr>
        <w:t>《中华人民共和国大气污染防治法》（2018年10月26日</w:t>
      </w:r>
      <w:r>
        <w:rPr>
          <w:rFonts w:hint="eastAsia"/>
        </w:rPr>
        <w:t>修订并</w:t>
      </w:r>
      <w:r>
        <w:rPr>
          <w:lang w:val="zh-CN"/>
        </w:rPr>
        <w:t>施行）；</w:t>
      </w:r>
    </w:p>
    <w:p>
      <w:pPr>
        <w:ind w:firstLine="480"/>
        <w:rPr>
          <w:lang w:val="zh-CN"/>
        </w:rPr>
      </w:pPr>
      <w:r>
        <w:rPr>
          <w:rFonts w:hint="eastAsia"/>
          <w:lang w:val="zh-CN"/>
        </w:rPr>
        <w:t>3、</w:t>
      </w:r>
      <w:r>
        <w:rPr>
          <w:lang w:val="zh-CN"/>
        </w:rPr>
        <w:t>《中华人民共和国水污染防治法》（2018年1月1日起施行）；</w:t>
      </w:r>
    </w:p>
    <w:p>
      <w:pPr>
        <w:ind w:firstLine="480"/>
      </w:pPr>
      <w:r>
        <w:rPr>
          <w:rFonts w:hint="eastAsia"/>
          <w:lang w:val="zh-CN"/>
        </w:rPr>
        <w:t>4、</w:t>
      </w:r>
      <w:r>
        <w:rPr>
          <w:lang w:val="zh-CN"/>
        </w:rPr>
        <w:t>《中华人民共和国环境噪声</w:t>
      </w:r>
      <w:r>
        <w:t>污染</w:t>
      </w:r>
      <w:r>
        <w:rPr>
          <w:lang w:val="zh-CN"/>
        </w:rPr>
        <w:t>防治法》（2018年12月29日</w:t>
      </w:r>
      <w:r>
        <w:rPr>
          <w:rFonts w:hint="eastAsia"/>
        </w:rPr>
        <w:t>修正并</w:t>
      </w:r>
      <w:r>
        <w:rPr>
          <w:lang w:val="zh-CN"/>
        </w:rPr>
        <w:t>施行）；</w:t>
      </w:r>
    </w:p>
    <w:p>
      <w:pPr>
        <w:ind w:firstLine="480"/>
        <w:rPr>
          <w:lang w:val="zh-CN"/>
        </w:rPr>
      </w:pPr>
      <w:r>
        <w:rPr>
          <w:rFonts w:hint="eastAsia"/>
        </w:rPr>
        <w:t>5、</w:t>
      </w:r>
      <w:r>
        <w:t>《中华人民共和国固体废物污染环境防治法》（20</w:t>
      </w:r>
      <w:r>
        <w:rPr>
          <w:rFonts w:hint="eastAsia"/>
        </w:rPr>
        <w:t>20</w:t>
      </w:r>
      <w:r>
        <w:rPr>
          <w:lang w:val="zh-CN"/>
        </w:rPr>
        <w:t>年</w:t>
      </w:r>
      <w:r>
        <w:rPr>
          <w:rFonts w:hint="eastAsia"/>
        </w:rPr>
        <w:t>9</w:t>
      </w:r>
      <w:r>
        <w:rPr>
          <w:lang w:val="zh-CN"/>
        </w:rPr>
        <w:t>月</w:t>
      </w:r>
      <w:r>
        <w:rPr>
          <w:rFonts w:hint="eastAsia"/>
        </w:rPr>
        <w:t>1</w:t>
      </w:r>
      <w:r>
        <w:rPr>
          <w:lang w:val="zh-CN"/>
        </w:rPr>
        <w:t>日</w:t>
      </w:r>
      <w:r>
        <w:t>起施行）</w:t>
      </w:r>
      <w:r>
        <w:rPr>
          <w:rFonts w:hint="eastAsia"/>
        </w:rPr>
        <w:t>；</w:t>
      </w:r>
    </w:p>
    <w:p>
      <w:pPr>
        <w:ind w:firstLine="480"/>
        <w:rPr>
          <w:rFonts w:cs="Times New Roman"/>
        </w:rPr>
      </w:pPr>
      <w:r>
        <w:rPr>
          <w:rFonts w:hint="eastAsia" w:cs="Times New Roman"/>
        </w:rPr>
        <w:t>6、</w:t>
      </w:r>
      <w:r>
        <w:rPr>
          <w:rFonts w:cs="Times New Roman"/>
        </w:rPr>
        <w:t>《建设项目环境保护管理条例》（国务院令第682号修改</w:t>
      </w:r>
      <w:r>
        <w:rPr>
          <w:rFonts w:hint="eastAsia" w:cs="Times New Roman"/>
        </w:rPr>
        <w:t>，2</w:t>
      </w:r>
      <w:r>
        <w:rPr>
          <w:rFonts w:cs="Times New Roman"/>
        </w:rPr>
        <w:t>017</w:t>
      </w:r>
      <w:r>
        <w:rPr>
          <w:rFonts w:hint="eastAsia" w:cs="Times New Roman"/>
        </w:rPr>
        <w:t>年1</w:t>
      </w:r>
      <w:r>
        <w:rPr>
          <w:rFonts w:cs="Times New Roman"/>
        </w:rPr>
        <w:t>0</w:t>
      </w:r>
      <w:r>
        <w:rPr>
          <w:rFonts w:hint="eastAsia" w:cs="Times New Roman"/>
        </w:rPr>
        <w:t>月1日起施行</w:t>
      </w:r>
      <w:r>
        <w:rPr>
          <w:rFonts w:cs="Times New Roman"/>
        </w:rPr>
        <w:t>）；</w:t>
      </w:r>
    </w:p>
    <w:p>
      <w:pPr>
        <w:ind w:firstLine="480"/>
        <w:rPr>
          <w:rFonts w:cs="Times New Roman"/>
        </w:rPr>
      </w:pPr>
      <w:r>
        <w:rPr>
          <w:rFonts w:hint="eastAsia" w:eastAsia="宋体" w:cs="Times New Roman"/>
        </w:rPr>
        <w:t>7、</w:t>
      </w:r>
      <w:r>
        <w:rPr>
          <w:rFonts w:cs="Times New Roman"/>
        </w:rPr>
        <w:t>《建设项目竣工环境保护验收暂行办法》</w:t>
      </w:r>
      <w:r>
        <w:rPr>
          <w:rFonts w:hint="eastAsia" w:cs="Times New Roman"/>
        </w:rPr>
        <w:t>（</w:t>
      </w:r>
      <w:r>
        <w:rPr>
          <w:rFonts w:cs="Times New Roman"/>
        </w:rPr>
        <w:t>环境保护部国环规环评[2017]4号</w:t>
      </w:r>
      <w:r>
        <w:rPr>
          <w:rFonts w:hint="eastAsia" w:cs="Times New Roman"/>
        </w:rPr>
        <w:t>，2</w:t>
      </w:r>
      <w:r>
        <w:rPr>
          <w:rFonts w:cs="Times New Roman"/>
        </w:rPr>
        <w:t>017</w:t>
      </w:r>
      <w:r>
        <w:rPr>
          <w:rFonts w:hint="eastAsia" w:cs="Times New Roman"/>
        </w:rPr>
        <w:t>年1</w:t>
      </w:r>
      <w:r>
        <w:rPr>
          <w:rFonts w:cs="Times New Roman"/>
        </w:rPr>
        <w:t>1</w:t>
      </w:r>
      <w:r>
        <w:rPr>
          <w:rFonts w:hint="eastAsia" w:cs="Times New Roman"/>
        </w:rPr>
        <w:t>月2</w:t>
      </w:r>
      <w:r>
        <w:rPr>
          <w:rFonts w:cs="Times New Roman"/>
        </w:rPr>
        <w:t>0</w:t>
      </w:r>
      <w:r>
        <w:rPr>
          <w:rFonts w:hint="eastAsia" w:cs="Times New Roman"/>
        </w:rPr>
        <w:t>日发布并实施）</w:t>
      </w:r>
      <w:r>
        <w:rPr>
          <w:rFonts w:cs="Times New Roman"/>
        </w:rPr>
        <w:t>；</w:t>
      </w:r>
    </w:p>
    <w:p>
      <w:pPr>
        <w:ind w:firstLine="480"/>
      </w:pPr>
      <w:r>
        <w:rPr>
          <w:rFonts w:hint="eastAsia"/>
        </w:rPr>
        <w:t>8、《关于公开征求&lt;关于规范建设单位自主开展建设项目竣工环境保护验收的通知（征求意见稿）&gt;意见的通知》（</w:t>
      </w:r>
      <w:r>
        <w:rPr>
          <w:rFonts w:eastAsia="宋体"/>
        </w:rPr>
        <w:t>环境保护部</w:t>
      </w:r>
      <w:r>
        <w:rPr>
          <w:rFonts w:hint="eastAsia"/>
        </w:rPr>
        <w:t>环办环评函[2017]1235号）；</w:t>
      </w:r>
    </w:p>
    <w:p>
      <w:pPr>
        <w:ind w:firstLine="480"/>
      </w:pPr>
      <w:r>
        <w:rPr>
          <w:rFonts w:hint="eastAsia"/>
        </w:rPr>
        <w:t>9、《污染影响类建设项目重大变动清单（试行）》（生态环境部环办环评函[</w:t>
      </w:r>
      <w:r>
        <w:t>2020]688</w:t>
      </w:r>
      <w:r>
        <w:rPr>
          <w:rFonts w:hint="eastAsia"/>
        </w:rPr>
        <w:t>号，2</w:t>
      </w:r>
      <w:r>
        <w:t>020</w:t>
      </w:r>
      <w:r>
        <w:rPr>
          <w:rFonts w:hint="eastAsia"/>
        </w:rPr>
        <w:t>年1</w:t>
      </w:r>
      <w:r>
        <w:t>2</w:t>
      </w:r>
      <w:r>
        <w:rPr>
          <w:rFonts w:hint="eastAsia"/>
        </w:rPr>
        <w:t>月</w:t>
      </w:r>
      <w:r>
        <w:t>13</w:t>
      </w:r>
      <w:r>
        <w:rPr>
          <w:rFonts w:hint="eastAsia"/>
        </w:rPr>
        <w:t>日印发）；</w:t>
      </w:r>
    </w:p>
    <w:p>
      <w:pPr>
        <w:ind w:firstLine="480"/>
      </w:pPr>
      <w:r>
        <w:t>10</w:t>
      </w:r>
      <w:r>
        <w:rPr>
          <w:rFonts w:hint="eastAsia"/>
        </w:rPr>
        <w:t>、</w:t>
      </w:r>
      <w:r>
        <w:t>《建设项目竣工环境保护验收技术指南</w:t>
      </w:r>
      <w:r>
        <w:rPr>
          <w:rFonts w:hint="eastAsia"/>
        </w:rPr>
        <w:t xml:space="preserve"> </w:t>
      </w:r>
      <w:r>
        <w:t>污染影响类》</w:t>
      </w:r>
      <w:r>
        <w:rPr>
          <w:rFonts w:hint="eastAsia"/>
        </w:rPr>
        <w:t>（</w:t>
      </w:r>
      <w:r>
        <w:t>生态环境部公告2018年第9号</w:t>
      </w:r>
      <w:r>
        <w:rPr>
          <w:rFonts w:hint="eastAsia"/>
        </w:rPr>
        <w:t>，2</w:t>
      </w:r>
      <w:r>
        <w:t>018</w:t>
      </w:r>
      <w:r>
        <w:rPr>
          <w:rFonts w:hint="eastAsia"/>
        </w:rPr>
        <w:t>年5月1</w:t>
      </w:r>
      <w:r>
        <w:t>6</w:t>
      </w:r>
      <w:r>
        <w:rPr>
          <w:rFonts w:hint="eastAsia"/>
        </w:rPr>
        <w:t>日印发）</w:t>
      </w:r>
      <w:r>
        <w:t>；</w:t>
      </w:r>
    </w:p>
    <w:p>
      <w:pPr>
        <w:ind w:firstLine="480"/>
      </w:pPr>
      <w:r>
        <w:t>11</w:t>
      </w:r>
      <w:r>
        <w:rPr>
          <w:rFonts w:hint="eastAsia"/>
        </w:rPr>
        <w:t>、</w:t>
      </w:r>
      <w:r>
        <w:t>《浙江省建设项目环境保护管理办法》</w:t>
      </w:r>
      <w:r>
        <w:rPr>
          <w:rFonts w:hint="eastAsia"/>
        </w:rPr>
        <w:t>（</w:t>
      </w:r>
      <w:r>
        <w:t>浙江省人民政府令第388号</w:t>
      </w:r>
      <w:r>
        <w:rPr>
          <w:rFonts w:hint="eastAsia"/>
        </w:rPr>
        <w:t>，2</w:t>
      </w:r>
      <w:r>
        <w:t>021</w:t>
      </w:r>
      <w:r>
        <w:rPr>
          <w:rFonts w:hint="eastAsia"/>
        </w:rPr>
        <w:t>年</w:t>
      </w:r>
      <w:r>
        <w:t>2</w:t>
      </w:r>
      <w:r>
        <w:rPr>
          <w:rFonts w:hint="eastAsia"/>
        </w:rPr>
        <w:t>月</w:t>
      </w:r>
      <w:r>
        <w:t>10</w:t>
      </w:r>
      <w:r>
        <w:rPr>
          <w:rFonts w:hint="eastAsia"/>
        </w:rPr>
        <w:t>日起施行）</w:t>
      </w:r>
      <w:r>
        <w:t>；</w:t>
      </w:r>
    </w:p>
    <w:p>
      <w:pPr>
        <w:ind w:firstLine="480"/>
      </w:pPr>
      <w:r>
        <w:rPr>
          <w:rFonts w:hint="eastAsia"/>
        </w:rPr>
        <w:t>1</w:t>
      </w:r>
      <w:r>
        <w:t>2</w:t>
      </w:r>
      <w:r>
        <w:rPr>
          <w:rFonts w:hint="eastAsia"/>
        </w:rPr>
        <w:t>、</w:t>
      </w:r>
      <w:r>
        <w:t>《纺织染整工业水污染物排放标准》（GB4287-2012）及其修改单</w:t>
      </w:r>
      <w:r>
        <w:rPr>
          <w:rFonts w:hint="eastAsia"/>
        </w:rPr>
        <w:t>（环保部公告2</w:t>
      </w:r>
      <w:r>
        <w:t>015年第</w:t>
      </w:r>
      <w:r>
        <w:rPr>
          <w:rFonts w:hint="eastAsia"/>
        </w:rPr>
        <w:t>1</w:t>
      </w:r>
      <w:r>
        <w:t>9号</w:t>
      </w:r>
      <w:r>
        <w:rPr>
          <w:rFonts w:hint="eastAsia"/>
        </w:rPr>
        <w:t>）</w:t>
      </w:r>
      <w:r>
        <w:t>；</w:t>
      </w:r>
    </w:p>
    <w:p>
      <w:pPr>
        <w:ind w:firstLine="480"/>
      </w:pPr>
      <w:r>
        <w:t>13</w:t>
      </w:r>
      <w:r>
        <w:rPr>
          <w:rFonts w:hint="eastAsia"/>
        </w:rPr>
        <w:t>、</w:t>
      </w:r>
      <w:r>
        <w:t>《关于调整</w:t>
      </w:r>
      <w:r>
        <w:rPr>
          <w:rFonts w:hint="eastAsia"/>
        </w:rPr>
        <w:t>&lt;纺织染整工业水污染物排放标准&gt;（G</w:t>
      </w:r>
      <w:r>
        <w:t>B4287-2012</w:t>
      </w:r>
      <w:r>
        <w:rPr>
          <w:rFonts w:hint="eastAsia"/>
        </w:rPr>
        <w:t>）部分指标执行要求的公告</w:t>
      </w:r>
      <w:r>
        <w:t>》（环保部公告</w:t>
      </w:r>
      <w:r>
        <w:rPr>
          <w:rFonts w:hint="eastAsia"/>
        </w:rPr>
        <w:t>2</w:t>
      </w:r>
      <w:r>
        <w:t>015年第</w:t>
      </w:r>
      <w:r>
        <w:rPr>
          <w:rFonts w:hint="eastAsia"/>
        </w:rPr>
        <w:t>4</w:t>
      </w:r>
      <w:r>
        <w:t>1号）；</w:t>
      </w:r>
    </w:p>
    <w:p>
      <w:pPr>
        <w:ind w:firstLine="480"/>
      </w:pPr>
      <w:r>
        <w:rPr>
          <w:rFonts w:hint="eastAsia"/>
        </w:rPr>
        <w:t>1</w:t>
      </w:r>
      <w:r>
        <w:t>4</w:t>
      </w:r>
      <w:r>
        <w:rPr>
          <w:rFonts w:hint="eastAsia"/>
        </w:rPr>
        <w:t>、《纺织染整工业大气污染物排放标准》（DB33/962-2015）；</w:t>
      </w:r>
    </w:p>
    <w:p>
      <w:pPr>
        <w:ind w:firstLine="480"/>
      </w:pPr>
      <w:r>
        <w:rPr>
          <w:rFonts w:hint="eastAsia"/>
        </w:rPr>
        <w:t>1</w:t>
      </w:r>
      <w:r>
        <w:t>5</w:t>
      </w:r>
      <w:r>
        <w:rPr>
          <w:rFonts w:hint="eastAsia"/>
        </w:rPr>
        <w:t>、《大气污染物综合排放标准》（GB16297-1996）；</w:t>
      </w:r>
    </w:p>
    <w:p>
      <w:pPr>
        <w:ind w:firstLine="480"/>
      </w:pPr>
      <w:r>
        <w:rPr>
          <w:rFonts w:hint="eastAsia"/>
        </w:rPr>
        <w:t>1</w:t>
      </w:r>
      <w:r>
        <w:t>6</w:t>
      </w:r>
      <w:r>
        <w:rPr>
          <w:rFonts w:hint="eastAsia"/>
        </w:rPr>
        <w:t>、《挥发性有机物无组织排放控制标准》（G</w:t>
      </w:r>
      <w:r>
        <w:t>B37822-2019</w:t>
      </w:r>
      <w:r>
        <w:rPr>
          <w:rFonts w:hint="eastAsia"/>
        </w:rPr>
        <w:t>）；</w:t>
      </w:r>
    </w:p>
    <w:p>
      <w:pPr>
        <w:ind w:firstLine="480"/>
      </w:pPr>
      <w:r>
        <w:rPr>
          <w:rFonts w:hint="eastAsia"/>
        </w:rPr>
        <w:t>1</w:t>
      </w:r>
      <w:r>
        <w:t>7</w:t>
      </w:r>
      <w:r>
        <w:rPr>
          <w:rFonts w:hint="eastAsia"/>
        </w:rPr>
        <w:t>、《关于印发&lt;工业炉窑大气污染综合治理方案&gt;的通知》（环大气[2019]56号）</w:t>
      </w:r>
      <w:r>
        <w:t>；</w:t>
      </w:r>
    </w:p>
    <w:p>
      <w:pPr>
        <w:ind w:firstLine="480"/>
      </w:pPr>
      <w:r>
        <w:rPr>
          <w:rFonts w:hint="eastAsia"/>
        </w:rPr>
        <w:t>1</w:t>
      </w:r>
      <w:r>
        <w:t>8</w:t>
      </w:r>
      <w:r>
        <w:rPr>
          <w:rFonts w:hint="eastAsia"/>
        </w:rPr>
        <w:t>、《浙江省工业炉窑大气污染综合治理方案》（浙环函[2019]315号）</w:t>
      </w:r>
      <w:r>
        <w:t>；</w:t>
      </w:r>
    </w:p>
    <w:p>
      <w:pPr>
        <w:ind w:firstLine="480"/>
      </w:pPr>
      <w:r>
        <w:rPr>
          <w:rFonts w:hint="eastAsia"/>
        </w:rPr>
        <w:t>1</w:t>
      </w:r>
      <w:r>
        <w:t>9</w:t>
      </w:r>
      <w:r>
        <w:rPr>
          <w:rFonts w:hint="eastAsia"/>
        </w:rPr>
        <w:t>、</w:t>
      </w:r>
      <w:r>
        <w:t>《工业企业厂界环境噪声排放标准》（GB12348-2008）</w:t>
      </w:r>
      <w:r>
        <w:rPr>
          <w:rFonts w:hint="eastAsia"/>
        </w:rPr>
        <w:t>；</w:t>
      </w:r>
    </w:p>
    <w:p>
      <w:pPr>
        <w:ind w:firstLine="480"/>
      </w:pPr>
      <w:r>
        <w:t>20</w:t>
      </w:r>
      <w:r>
        <w:rPr>
          <w:rFonts w:hint="eastAsia"/>
        </w:rPr>
        <w:t>、</w:t>
      </w:r>
      <w:bookmarkStart w:id="11" w:name="_Hlk81913913"/>
      <w:r>
        <w:t>《一般工业固体废物贮存、处置场污染控制标准》（GB18599-2020）</w:t>
      </w:r>
      <w:bookmarkEnd w:id="11"/>
      <w:r>
        <w:t>；</w:t>
      </w:r>
    </w:p>
    <w:p>
      <w:pPr>
        <w:ind w:firstLine="480"/>
      </w:pPr>
      <w:r>
        <w:t>21</w:t>
      </w:r>
      <w:r>
        <w:rPr>
          <w:rFonts w:hint="eastAsia"/>
        </w:rPr>
        <w:t>、《危险废物贮存污染控制标准（2</w:t>
      </w:r>
      <w:r>
        <w:t>013</w:t>
      </w:r>
      <w:r>
        <w:rPr>
          <w:rFonts w:hint="eastAsia"/>
        </w:rPr>
        <w:t>年修正）》（GB18597-2001）；</w:t>
      </w:r>
    </w:p>
    <w:p>
      <w:pPr>
        <w:ind w:firstLine="480"/>
      </w:pPr>
      <w:r>
        <w:t>22</w:t>
      </w:r>
      <w:r>
        <w:rPr>
          <w:rFonts w:hint="eastAsia"/>
        </w:rPr>
        <w:t>、杭州环保科技咨询有限公司编制的《桐乡市诺派纺织科技有限公司年产500万米功能性装饰面料建设项目环境影响报告书》（202</w:t>
      </w:r>
      <w:r>
        <w:t>1</w:t>
      </w:r>
      <w:r>
        <w:rPr>
          <w:rFonts w:hint="eastAsia"/>
        </w:rPr>
        <w:t>年</w:t>
      </w:r>
      <w:r>
        <w:t>7</w:t>
      </w:r>
      <w:r>
        <w:rPr>
          <w:rFonts w:hint="eastAsia"/>
        </w:rPr>
        <w:t>月）；</w:t>
      </w:r>
    </w:p>
    <w:p>
      <w:pPr>
        <w:ind w:firstLine="480"/>
      </w:pPr>
      <w:r>
        <w:rPr>
          <w:rFonts w:hint="eastAsia"/>
        </w:rPr>
        <w:t>2</w:t>
      </w:r>
      <w:r>
        <w:t>3</w:t>
      </w:r>
      <w:r>
        <w:rPr>
          <w:rFonts w:hint="eastAsia"/>
        </w:rPr>
        <w:t>、</w:t>
      </w:r>
      <w:bookmarkStart w:id="12" w:name="_Hlk68791689"/>
      <w:r>
        <w:rPr>
          <w:rFonts w:hint="eastAsia"/>
        </w:rPr>
        <w:t>嘉兴市生态环境局桐乡分局出具的《关于&lt;</w:t>
      </w:r>
      <w:r>
        <w:t>桐乡市诺派纺织科技有限公司年产</w:t>
      </w:r>
      <w:r>
        <w:rPr>
          <w:rFonts w:hint="eastAsia"/>
        </w:rPr>
        <w:t>5</w:t>
      </w:r>
      <w:r>
        <w:t>00万米功能性装饰面料建设项目环境影响报告书&gt;的审查意见</w:t>
      </w:r>
      <w:r>
        <w:rPr>
          <w:rFonts w:hint="eastAsia"/>
        </w:rPr>
        <w:t>》</w:t>
      </w:r>
      <w:bookmarkEnd w:id="12"/>
      <w:r>
        <w:rPr>
          <w:rFonts w:hint="eastAsia"/>
        </w:rPr>
        <w:t>（嘉环桐建 [</w:t>
      </w:r>
      <w:r>
        <w:t>2021]0158</w:t>
      </w:r>
      <w:r>
        <w:rPr>
          <w:rFonts w:hint="eastAsia"/>
        </w:rPr>
        <w:t>号）；</w:t>
      </w:r>
    </w:p>
    <w:p>
      <w:pPr>
        <w:ind w:firstLine="480"/>
      </w:pPr>
      <w:r>
        <w:rPr>
          <w:rFonts w:hint="eastAsia"/>
        </w:rPr>
        <w:t>2</w:t>
      </w:r>
      <w:r>
        <w:t>4</w:t>
      </w:r>
      <w:r>
        <w:rPr>
          <w:rFonts w:hint="eastAsia"/>
        </w:rPr>
        <w:t>、浙江泓远检测科技有限公司出具的《桐乡市诺派纺织科技有限公司验收检测报告》（报告编号：浙泓检[</w:t>
      </w:r>
      <w:r>
        <w:t>2022]09049</w:t>
      </w:r>
      <w:r>
        <w:rPr>
          <w:rFonts w:hint="eastAsia"/>
        </w:rPr>
        <w:t>）；</w:t>
      </w:r>
    </w:p>
    <w:p>
      <w:pPr>
        <w:ind w:firstLine="480"/>
      </w:pPr>
      <w:r>
        <w:rPr>
          <w:rFonts w:hint="eastAsia"/>
        </w:rPr>
        <w:t>2</w:t>
      </w:r>
      <w:r>
        <w:t>5</w:t>
      </w:r>
      <w:r>
        <w:rPr>
          <w:rFonts w:hint="eastAsia"/>
        </w:rPr>
        <w:t>、浙江泓远检测科技有限公司出具的《桐乡市诺派纺织科技有限公司验收检测报告》（报告编号：浙泓检[</w:t>
      </w:r>
      <w:r>
        <w:t>2022]11209</w:t>
      </w:r>
      <w:r>
        <w:rPr>
          <w:rFonts w:hint="eastAsia"/>
        </w:rPr>
        <w:t>）。</w:t>
      </w:r>
    </w:p>
    <w:p>
      <w:pPr>
        <w:pStyle w:val="2"/>
        <w:ind w:left="480" w:firstLine="480"/>
      </w:pPr>
    </w:p>
    <w:p>
      <w:pPr>
        <w:pStyle w:val="4"/>
        <w:sectPr>
          <w:pgSz w:w="11906" w:h="16838"/>
          <w:pgMar w:top="1418" w:right="1701" w:bottom="1418" w:left="1701" w:header="851" w:footer="992" w:gutter="0"/>
          <w:pgNumType w:fmt="numberInDash"/>
          <w:cols w:space="425" w:num="1"/>
          <w:titlePg/>
          <w:docGrid w:type="lines" w:linePitch="312" w:charSpace="0"/>
        </w:sectPr>
      </w:pPr>
      <w:bookmarkStart w:id="13" w:name="_Toc515273904"/>
    </w:p>
    <w:p>
      <w:pPr>
        <w:pStyle w:val="4"/>
      </w:pPr>
      <w:bookmarkStart w:id="14" w:name="_Toc81808488"/>
      <w:r>
        <w:t>3 工程建设情况</w:t>
      </w:r>
      <w:bookmarkEnd w:id="13"/>
      <w:bookmarkEnd w:id="14"/>
    </w:p>
    <w:p>
      <w:pPr>
        <w:pStyle w:val="5"/>
        <w:rPr>
          <w:rFonts w:cs="Times New Roman"/>
          <w:szCs w:val="24"/>
        </w:rPr>
      </w:pPr>
      <w:bookmarkStart w:id="15" w:name="_Toc515273905"/>
      <w:bookmarkStart w:id="16" w:name="_Toc81808489"/>
      <w:r>
        <w:rPr>
          <w:rFonts w:cs="Times New Roman"/>
          <w:szCs w:val="24"/>
        </w:rPr>
        <w:t>3.1地理位置及平面布置</w:t>
      </w:r>
      <w:bookmarkEnd w:id="15"/>
      <w:bookmarkEnd w:id="16"/>
    </w:p>
    <w:p>
      <w:pPr>
        <w:ind w:firstLine="480"/>
      </w:pPr>
      <w:bookmarkStart w:id="17" w:name="_Hlk68245195"/>
      <w:r>
        <w:rPr>
          <w:rFonts w:hint="eastAsia"/>
        </w:rPr>
        <w:t>本项目位于桐乡市洲泉镇工业功能区中小企业分区中河路1</w:t>
      </w:r>
      <w:r>
        <w:t>58号</w:t>
      </w:r>
      <w:r>
        <w:rPr>
          <w:rFonts w:hint="eastAsia"/>
        </w:rPr>
        <w:t>（桐乡市炬力塑胶股份有限公司内），项目厂区周围环境概况如下：</w:t>
      </w:r>
    </w:p>
    <w:p>
      <w:pPr>
        <w:ind w:firstLine="480"/>
        <w:rPr>
          <w:rFonts w:cs="Times New Roman"/>
        </w:rPr>
      </w:pPr>
      <w:r>
        <w:rPr>
          <w:rFonts w:hint="eastAsia" w:cs="Times New Roman"/>
        </w:rPr>
        <w:t>东面：为桐乡市云东化纤股份有限公司、桐乡市洲泉旭东加弹厂；</w:t>
      </w:r>
    </w:p>
    <w:p>
      <w:pPr>
        <w:ind w:firstLine="480"/>
        <w:rPr>
          <w:rFonts w:cs="Times New Roman"/>
        </w:rPr>
      </w:pPr>
      <w:r>
        <w:rPr>
          <w:rFonts w:hint="eastAsia" w:cs="Times New Roman"/>
        </w:rPr>
        <w:t>南面：为桐乡市炬力塑胶股份有限公司，再往南为中河路，隔路为桐乡市迪诺纺织股份有限公司；</w:t>
      </w:r>
    </w:p>
    <w:p>
      <w:pPr>
        <w:ind w:firstLine="480"/>
        <w:rPr>
          <w:rFonts w:cs="Times New Roman"/>
        </w:rPr>
      </w:pPr>
      <w:r>
        <w:rPr>
          <w:rFonts w:hint="eastAsia" w:cs="Times New Roman"/>
        </w:rPr>
        <w:t>西面：为桐乡市春峰工艺家具有限公司；</w:t>
      </w:r>
    </w:p>
    <w:p>
      <w:pPr>
        <w:ind w:firstLine="480"/>
        <w:rPr>
          <w:rFonts w:cs="Times New Roman"/>
        </w:rPr>
      </w:pPr>
      <w:r>
        <w:rPr>
          <w:rFonts w:hint="eastAsia" w:cs="Times New Roman"/>
        </w:rPr>
        <w:t>北面：为桐乡市炬力塑胶股份有限公司，再往北为大桥头港，隔河为祇园禅寺和地心里村农居（农居距厂界最近距离约2</w:t>
      </w:r>
      <w:r>
        <w:rPr>
          <w:rFonts w:cs="Times New Roman"/>
        </w:rPr>
        <w:t>00米</w:t>
      </w:r>
      <w:r>
        <w:rPr>
          <w:rFonts w:hint="eastAsia" w:cs="Times New Roman"/>
        </w:rPr>
        <w:t>）。</w:t>
      </w:r>
    </w:p>
    <w:p>
      <w:pPr>
        <w:ind w:firstLine="480"/>
      </w:pPr>
      <w:r>
        <w:rPr>
          <w:rFonts w:hint="eastAsia"/>
        </w:rPr>
        <w:t>具体地理位置见图3</w:t>
      </w:r>
      <w:r>
        <w:t>-1</w:t>
      </w:r>
      <w:r>
        <w:rPr>
          <w:rFonts w:hint="eastAsia"/>
        </w:rPr>
        <w:t>，周围环境概况见图3</w:t>
      </w:r>
      <w:r>
        <w:t>-2</w:t>
      </w:r>
      <w:r>
        <w:rPr>
          <w:rFonts w:hint="eastAsia"/>
        </w:rPr>
        <w:t>，项目监测点位见图3</w:t>
      </w:r>
      <w:r>
        <w:t>-3</w:t>
      </w:r>
      <w:r>
        <w:rPr>
          <w:rFonts w:hint="eastAsia"/>
        </w:rPr>
        <w:t>。</w:t>
      </w:r>
    </w:p>
    <w:p>
      <w:pPr>
        <w:pStyle w:val="2"/>
        <w:ind w:left="0" w:leftChars="0" w:firstLine="0" w:firstLineChars="0"/>
        <w:jc w:val="center"/>
      </w:pPr>
      <w:r>
        <w:rPr>
          <w:rFonts w:hint="eastAsia" w:cs="Times New Roman"/>
        </w:rPr>
        <mc:AlternateContent>
          <mc:Choice Requires="wps">
            <w:drawing>
              <wp:anchor distT="0" distB="0" distL="114300" distR="114300" simplePos="0" relativeHeight="251660288" behindDoc="0" locked="0" layoutInCell="1" allowOverlap="1">
                <wp:simplePos x="0" y="0"/>
                <wp:positionH relativeFrom="margin">
                  <wp:posOffset>650875</wp:posOffset>
                </wp:positionH>
                <wp:positionV relativeFrom="paragraph">
                  <wp:posOffset>2026920</wp:posOffset>
                </wp:positionV>
                <wp:extent cx="904875" cy="285750"/>
                <wp:effectExtent l="0" t="0" r="104775" b="266700"/>
                <wp:wrapNone/>
                <wp:docPr id="2" name="对话气泡: 矩形 2"/>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pPr>
                              <w:spacing w:line="240" w:lineRule="auto"/>
                              <w:ind w:firstLine="0" w:firstLineChars="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 id="对话气泡: 矩形 2" o:spid="_x0000_s1026" o:spt="61" type="#_x0000_t61" style="position:absolute;left:0pt;margin-left:51.25pt;margin-top:159.6pt;height:22.5pt;width:71.25pt;mso-position-horizontal-relative:margin;z-index:251660288;mso-width-relative:page;mso-height-relative:page;" fillcolor="#CCFFCC" filled="t" stroked="t" coordsize="21600,21600" o:gfxdata="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BKOhnZAAAACwEAAA8AAAAAAAAAAQAgAAAAIgAA&#10;AGRycy9kb3ducmV2LnhtbFBLAQIUABQAAAAIAIdO4kBQHEUTeQIAAOYEAAAOAAAAAAAAAAEAIAAA&#10;ACgBAABkcnMvZTJvRG9jLnhtbFBLBQYAAAAABgAGAFkBAAATBgAAAAA=&#10;" adj="22509,37899">
                <v:fill on="t" focussize="0,0"/>
                <v:stroke weight="1.25pt" color="#000000" miterlimit="8" joinstyle="miter"/>
                <v:imagedata o:title=""/>
                <o:lock v:ext="edit" aspectratio="f"/>
                <v:textbox inset="1.8mm,1.4mm,1.8mm,1.2mm">
                  <w:txbxContent>
                    <w:p>
                      <w:pPr>
                        <w:spacing w:line="240" w:lineRule="auto"/>
                        <w:ind w:firstLine="0" w:firstLineChars="0"/>
                        <w:jc w:val="center"/>
                        <w:textAlignment w:val="top"/>
                        <w:rPr>
                          <w:b/>
                          <w:color w:val="FF0000"/>
                        </w:rPr>
                      </w:pPr>
                      <w:r>
                        <w:rPr>
                          <w:rFonts w:hint="eastAsia"/>
                          <w:b/>
                          <w:color w:val="FF0000"/>
                        </w:rPr>
                        <w:t>项目位置</w:t>
                      </w:r>
                    </w:p>
                  </w:txbxContent>
                </v:textbox>
              </v:shape>
            </w:pict>
          </mc:Fallback>
        </mc:AlternateContent>
      </w:r>
      <w:r>
        <w:drawing>
          <wp:inline distT="0" distB="0" distL="0" distR="0">
            <wp:extent cx="5400040" cy="3688080"/>
            <wp:effectExtent l="0" t="0" r="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6"/>
                    <a:stretch>
                      <a:fillRect/>
                    </a:stretch>
                  </pic:blipFill>
                  <pic:spPr>
                    <a:xfrm>
                      <a:off x="0" y="0"/>
                      <a:ext cx="5400040" cy="3688080"/>
                    </a:xfrm>
                    <a:prstGeom prst="rect">
                      <a:avLst/>
                    </a:prstGeom>
                  </pic:spPr>
                </pic:pic>
              </a:graphicData>
            </a:graphic>
          </wp:inline>
        </w:drawing>
      </w:r>
    </w:p>
    <w:bookmarkEnd w:id="17"/>
    <w:p>
      <w:pPr>
        <w:pStyle w:val="35"/>
        <w:spacing w:before="62" w:after="31"/>
      </w:pPr>
      <w:r>
        <w:rPr>
          <w:rFonts w:hint="eastAsia"/>
        </w:rPr>
        <w:t>图3-1本项目地理位置图</w:t>
      </w:r>
    </w:p>
    <w:p>
      <w:pPr>
        <w:pStyle w:val="2"/>
        <w:ind w:left="0" w:leftChars="0" w:firstLine="0" w:firstLineChars="0"/>
        <w:jc w:val="center"/>
      </w:pPr>
      <w:r>
        <w:drawing>
          <wp:anchor distT="0" distB="0" distL="114300" distR="114300" simplePos="0" relativeHeight="251661312" behindDoc="0" locked="0" layoutInCell="1" allowOverlap="1">
            <wp:simplePos x="0" y="0"/>
            <wp:positionH relativeFrom="column">
              <wp:posOffset>5123180</wp:posOffset>
            </wp:positionH>
            <wp:positionV relativeFrom="paragraph">
              <wp:posOffset>39370</wp:posOffset>
            </wp:positionV>
            <wp:extent cx="448310" cy="627380"/>
            <wp:effectExtent l="0" t="0" r="8890" b="127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48310" cy="627380"/>
                    </a:xfrm>
                    <a:prstGeom prst="rect">
                      <a:avLst/>
                    </a:prstGeom>
                    <a:noFill/>
                    <a:ln>
                      <a:noFill/>
                    </a:ln>
                  </pic:spPr>
                </pic:pic>
              </a:graphicData>
            </a:graphic>
          </wp:anchor>
        </w:drawing>
      </w:r>
      <w:r>
        <w:drawing>
          <wp:inline distT="0" distB="0" distL="0" distR="0">
            <wp:extent cx="4791075" cy="3481070"/>
            <wp:effectExtent l="0" t="0" r="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8"/>
                    <a:stretch>
                      <a:fillRect/>
                    </a:stretch>
                  </pic:blipFill>
                  <pic:spPr>
                    <a:xfrm>
                      <a:off x="0" y="0"/>
                      <a:ext cx="4802751" cy="3489675"/>
                    </a:xfrm>
                    <a:prstGeom prst="rect">
                      <a:avLst/>
                    </a:prstGeom>
                  </pic:spPr>
                </pic:pic>
              </a:graphicData>
            </a:graphic>
          </wp:inline>
        </w:drawing>
      </w:r>
    </w:p>
    <w:p>
      <w:pPr>
        <w:pStyle w:val="35"/>
        <w:spacing w:before="62" w:after="31"/>
      </w:pPr>
      <w:r>
        <w:rPr>
          <w:rFonts w:hint="eastAsia"/>
        </w:rPr>
        <w:t>图3-</w:t>
      </w:r>
      <w:r>
        <w:t>2</w:t>
      </w:r>
      <w:r>
        <w:rPr>
          <w:rFonts w:hint="eastAsia"/>
        </w:rPr>
        <w:t xml:space="preserve"> </w:t>
      </w:r>
      <w:r>
        <w:t xml:space="preserve"> </w:t>
      </w:r>
      <w:r>
        <w:rPr>
          <w:rFonts w:hint="eastAsia"/>
        </w:rPr>
        <w:t>项目周围环境概况图</w:t>
      </w:r>
    </w:p>
    <w:p>
      <w:pPr>
        <w:pStyle w:val="2"/>
        <w:spacing w:after="0" w:line="240" w:lineRule="auto"/>
        <w:ind w:left="0" w:leftChars="0" w:firstLine="0" w:firstLineChars="0"/>
        <w:jc w:val="center"/>
        <w:rPr>
          <w:rFonts w:cs="Times New Roman"/>
          <w:b/>
          <w:sz w:val="21"/>
          <w:szCs w:val="32"/>
        </w:rPr>
      </w:pPr>
      <w:r>
        <w:drawing>
          <wp:anchor distT="0" distB="0" distL="114300" distR="114300" simplePos="0" relativeHeight="251662336" behindDoc="0" locked="0" layoutInCell="1" allowOverlap="1">
            <wp:simplePos x="0" y="0"/>
            <wp:positionH relativeFrom="column">
              <wp:posOffset>5136515</wp:posOffset>
            </wp:positionH>
            <wp:positionV relativeFrom="paragraph">
              <wp:posOffset>80010</wp:posOffset>
            </wp:positionV>
            <wp:extent cx="448310" cy="627380"/>
            <wp:effectExtent l="0" t="0" r="8890" b="127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48310" cy="627380"/>
                    </a:xfrm>
                    <a:prstGeom prst="rect">
                      <a:avLst/>
                    </a:prstGeom>
                    <a:noFill/>
                    <a:ln>
                      <a:noFill/>
                    </a:ln>
                  </pic:spPr>
                </pic:pic>
              </a:graphicData>
            </a:graphic>
          </wp:anchor>
        </w:drawing>
      </w:r>
      <w:r>
        <w:drawing>
          <wp:inline distT="0" distB="0" distL="0" distR="0">
            <wp:extent cx="4871720" cy="3387725"/>
            <wp:effectExtent l="0" t="0" r="508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9"/>
                    <a:stretch>
                      <a:fillRect/>
                    </a:stretch>
                  </pic:blipFill>
                  <pic:spPr>
                    <a:xfrm>
                      <a:off x="0" y="0"/>
                      <a:ext cx="4882244" cy="3395295"/>
                    </a:xfrm>
                    <a:prstGeom prst="rect">
                      <a:avLst/>
                    </a:prstGeom>
                  </pic:spPr>
                </pic:pic>
              </a:graphicData>
            </a:graphic>
          </wp:inline>
        </w:drawing>
      </w:r>
    </w:p>
    <w:p>
      <w:pPr>
        <w:pStyle w:val="35"/>
        <w:spacing w:before="62" w:after="31"/>
      </w:pPr>
      <w:r>
        <w:rPr>
          <w:rFonts w:hint="eastAsia"/>
        </w:rPr>
        <w:t>图3</w:t>
      </w:r>
      <w:r>
        <w:t xml:space="preserve">-3  </w:t>
      </w:r>
      <w:r>
        <w:rPr>
          <w:rFonts w:hint="eastAsia"/>
        </w:rPr>
        <w:t>项目监测点位图</w:t>
      </w:r>
    </w:p>
    <w:p>
      <w:pPr>
        <w:pStyle w:val="5"/>
        <w:rPr>
          <w:rFonts w:cs="Times New Roman"/>
          <w:szCs w:val="24"/>
        </w:rPr>
      </w:pPr>
      <w:bookmarkStart w:id="18" w:name="_Toc515273906"/>
      <w:bookmarkStart w:id="19" w:name="_Toc81808490"/>
      <w:r>
        <w:rPr>
          <w:rFonts w:cs="Times New Roman"/>
          <w:szCs w:val="24"/>
        </w:rPr>
        <w:t>3.2建设内容</w:t>
      </w:r>
      <w:bookmarkEnd w:id="18"/>
      <w:bookmarkEnd w:id="19"/>
    </w:p>
    <w:p>
      <w:pPr>
        <w:ind w:firstLine="480"/>
      </w:pPr>
      <w:r>
        <w:rPr>
          <w:rFonts w:hint="eastAsia"/>
        </w:rPr>
        <w:t>本项目为新建项目，租用桐乡市炬力塑胶股份有限公司位于桐乡市洲泉镇工业功能区中小企业分区中河路158号的5000m</w:t>
      </w:r>
      <w:r>
        <w:rPr>
          <w:rFonts w:hint="eastAsia"/>
          <w:vertAlign w:val="superscript"/>
        </w:rPr>
        <w:t>2</w:t>
      </w:r>
      <w:r>
        <w:rPr>
          <w:rFonts w:hint="eastAsia"/>
        </w:rPr>
        <w:t>闲置厂房，实施年产500万米功能性装饰面料建设项目。本项目计划投资</w:t>
      </w:r>
      <w:r>
        <w:t>4865</w:t>
      </w:r>
      <w:r>
        <w:rPr>
          <w:rFonts w:hint="eastAsia"/>
        </w:rPr>
        <w:t>万元，目前本项目已实际投资</w:t>
      </w:r>
      <w:r>
        <w:t>2890</w:t>
      </w:r>
      <w:r>
        <w:rPr>
          <w:rFonts w:hint="eastAsia"/>
        </w:rPr>
        <w:t>万元，其中环保投资</w:t>
      </w:r>
      <w:r>
        <w:t>142</w:t>
      </w:r>
      <w:r>
        <w:rPr>
          <w:rFonts w:hint="eastAsia"/>
        </w:rPr>
        <w:t>万元（环保投资比例为</w:t>
      </w:r>
      <w:r>
        <w:t>4.91</w:t>
      </w:r>
      <w:r>
        <w:rPr>
          <w:rFonts w:hint="eastAsia"/>
        </w:rPr>
        <w:t>%），购置涂层机2台、复合机1台、空压机1台、二级水喷淋+除湿+活性炭吸附净化装置1套、二级水喷淋+除湿+高压静电+光催化氧化净化装置1套。目前企业整经机、剑杆机、转移印花设备（含印刷机、转移印花机）、烫金机、打卷机、压花机、验布机及配套水喷淋+除湿+高压静电净化装置暂未购置，实际产能为年产5</w:t>
      </w:r>
      <w:r>
        <w:t>00万米功能性装饰面料</w:t>
      </w:r>
      <w:r>
        <w:rPr>
          <w:rFonts w:hint="eastAsia"/>
        </w:rPr>
        <w:t>。</w:t>
      </w:r>
    </w:p>
    <w:p>
      <w:pPr>
        <w:ind w:firstLine="480"/>
      </w:pPr>
      <w:r>
        <w:rPr>
          <w:rFonts w:hint="eastAsia"/>
        </w:rPr>
        <w:t>环评及批复建设内容与实际建设内容对照见表3-1。</w:t>
      </w:r>
    </w:p>
    <w:p>
      <w:pPr>
        <w:pStyle w:val="39"/>
        <w:spacing w:before="62" w:after="31"/>
        <w:rPr>
          <w:color w:val="auto"/>
        </w:rPr>
      </w:pPr>
      <w:r>
        <w:rPr>
          <w:color w:val="auto"/>
        </w:rPr>
        <w:t>表3-1  环评及批复建设内容与实际建设内容</w:t>
      </w:r>
      <w:r>
        <w:rPr>
          <w:rFonts w:hint="eastAsia"/>
          <w:color w:val="auto"/>
        </w:rPr>
        <w:t>对照</w:t>
      </w:r>
      <w:r>
        <w:rPr>
          <w:color w:val="auto"/>
        </w:rPr>
        <w:t>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4"/>
        <w:gridCol w:w="2401"/>
        <w:gridCol w:w="2401"/>
        <w:gridCol w:w="1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49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1"/>
              </w:rPr>
            </w:pPr>
            <w:r>
              <w:rPr>
                <w:rFonts w:hint="eastAsia" w:eastAsia="宋体" w:cs="Times New Roman"/>
                <w:b/>
                <w:bCs/>
                <w:sz w:val="21"/>
                <w:szCs w:val="21"/>
              </w:rPr>
              <w:t>项目名称</w:t>
            </w:r>
          </w:p>
        </w:tc>
        <w:tc>
          <w:tcPr>
            <w:tcW w:w="1377" w:type="pct"/>
            <w:vAlign w:val="center"/>
          </w:tcPr>
          <w:p>
            <w:pPr>
              <w:spacing w:line="240" w:lineRule="auto"/>
              <w:ind w:firstLine="0" w:firstLineChars="0"/>
              <w:jc w:val="center"/>
              <w:textAlignment w:val="center"/>
              <w:rPr>
                <w:rFonts w:eastAsia="宋体" w:cs="Times New Roman"/>
                <w:b/>
                <w:bCs/>
                <w:sz w:val="21"/>
                <w:szCs w:val="21"/>
              </w:rPr>
            </w:pPr>
            <w:r>
              <w:rPr>
                <w:rFonts w:cs="Times New Roman"/>
                <w:b/>
                <w:bCs/>
                <w:kern w:val="0"/>
                <w:sz w:val="21"/>
                <w:szCs w:val="21"/>
              </w:rPr>
              <w:t>环评及批复</w:t>
            </w:r>
            <w:r>
              <w:rPr>
                <w:rFonts w:hint="eastAsia" w:cs="Times New Roman"/>
                <w:b/>
                <w:bCs/>
                <w:kern w:val="0"/>
                <w:sz w:val="21"/>
                <w:szCs w:val="21"/>
              </w:rPr>
              <w:t>生产规模</w:t>
            </w:r>
          </w:p>
        </w:tc>
        <w:tc>
          <w:tcPr>
            <w:tcW w:w="1377" w:type="pct"/>
            <w:tcBorders>
              <w:right w:val="single" w:color="auto" w:sz="4" w:space="0"/>
            </w:tcBorders>
            <w:vAlign w:val="center"/>
          </w:tcPr>
          <w:p>
            <w:pPr>
              <w:spacing w:line="240" w:lineRule="auto"/>
              <w:ind w:firstLine="0" w:firstLineChars="0"/>
              <w:jc w:val="center"/>
              <w:textAlignment w:val="center"/>
              <w:rPr>
                <w:rFonts w:eastAsia="宋体" w:cs="Times New Roman"/>
                <w:b/>
                <w:bCs/>
                <w:sz w:val="21"/>
                <w:szCs w:val="21"/>
              </w:rPr>
            </w:pPr>
            <w:r>
              <w:rPr>
                <w:rFonts w:cs="Times New Roman"/>
                <w:b/>
                <w:bCs/>
                <w:kern w:val="0"/>
                <w:sz w:val="21"/>
                <w:szCs w:val="21"/>
              </w:rPr>
              <w:t>实际</w:t>
            </w:r>
            <w:r>
              <w:rPr>
                <w:rFonts w:hint="eastAsia" w:cs="Times New Roman"/>
                <w:b/>
                <w:bCs/>
                <w:kern w:val="0"/>
                <w:sz w:val="21"/>
                <w:szCs w:val="21"/>
              </w:rPr>
              <w:t>建设规模</w:t>
            </w:r>
          </w:p>
        </w:tc>
        <w:tc>
          <w:tcPr>
            <w:tcW w:w="74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1"/>
              </w:rPr>
            </w:pPr>
            <w:r>
              <w:rPr>
                <w:rFonts w:hint="eastAsia" w:eastAsia="宋体"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49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桐乡市诺派纺织科技有限公司年产500万米功能性装饰面料建设项目</w:t>
            </w:r>
          </w:p>
        </w:tc>
        <w:tc>
          <w:tcPr>
            <w:tcW w:w="1377" w:type="pct"/>
            <w:vAlign w:val="center"/>
          </w:tcPr>
          <w:p>
            <w:pPr>
              <w:spacing w:line="240" w:lineRule="auto"/>
              <w:ind w:firstLine="0" w:firstLineChars="0"/>
              <w:jc w:val="center"/>
              <w:textAlignment w:val="center"/>
              <w:rPr>
                <w:rFonts w:cs="Times New Roman"/>
                <w:kern w:val="0"/>
                <w:sz w:val="21"/>
                <w:szCs w:val="21"/>
              </w:rPr>
            </w:pPr>
            <w:r>
              <w:rPr>
                <w:rFonts w:hint="eastAsia"/>
                <w:sz w:val="21"/>
                <w:szCs w:val="21"/>
              </w:rPr>
              <w:t>年产</w:t>
            </w:r>
            <w:r>
              <w:rPr>
                <w:sz w:val="21"/>
                <w:szCs w:val="21"/>
              </w:rPr>
              <w:t>500</w:t>
            </w:r>
            <w:r>
              <w:rPr>
                <w:rFonts w:hint="eastAsia"/>
                <w:sz w:val="21"/>
                <w:szCs w:val="21"/>
              </w:rPr>
              <w:t>万米功能性装饰面料</w:t>
            </w:r>
          </w:p>
        </w:tc>
        <w:tc>
          <w:tcPr>
            <w:tcW w:w="1377" w:type="pct"/>
            <w:vAlign w:val="center"/>
          </w:tcPr>
          <w:p>
            <w:pPr>
              <w:spacing w:line="240" w:lineRule="auto"/>
              <w:ind w:firstLine="0" w:firstLineChars="0"/>
              <w:jc w:val="center"/>
              <w:textAlignment w:val="center"/>
              <w:rPr>
                <w:rFonts w:cs="Times New Roman"/>
                <w:kern w:val="0"/>
                <w:sz w:val="21"/>
                <w:szCs w:val="21"/>
              </w:rPr>
            </w:pPr>
            <w:r>
              <w:rPr>
                <w:rFonts w:hint="eastAsia"/>
                <w:sz w:val="21"/>
                <w:szCs w:val="21"/>
              </w:rPr>
              <w:t>年产</w:t>
            </w:r>
            <w:r>
              <w:rPr>
                <w:sz w:val="21"/>
                <w:szCs w:val="21"/>
              </w:rPr>
              <w:t>500</w:t>
            </w:r>
            <w:r>
              <w:rPr>
                <w:rFonts w:hint="eastAsia"/>
                <w:sz w:val="21"/>
                <w:szCs w:val="21"/>
              </w:rPr>
              <w:t>万米功能性装饰面料</w:t>
            </w:r>
          </w:p>
        </w:tc>
        <w:tc>
          <w:tcPr>
            <w:tcW w:w="74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本次阶段性验收项目</w:t>
            </w:r>
          </w:p>
        </w:tc>
      </w:tr>
    </w:tbl>
    <w:p>
      <w:pPr>
        <w:spacing w:before="156" w:beforeLines="50"/>
        <w:ind w:firstLine="360" w:firstLineChars="150"/>
      </w:pPr>
      <w:r>
        <w:t>环评</w:t>
      </w:r>
      <w:r>
        <w:rPr>
          <w:rFonts w:hint="eastAsia"/>
        </w:rPr>
        <w:t>报告中全厂</w:t>
      </w:r>
      <w:r>
        <w:t>设备</w:t>
      </w:r>
      <w:r>
        <w:rPr>
          <w:rFonts w:hint="eastAsia"/>
        </w:rPr>
        <w:t>数量</w:t>
      </w:r>
      <w:r>
        <w:t>及实际设备清单对照见表3-</w:t>
      </w:r>
      <w:r>
        <w:rPr>
          <w:rFonts w:hint="eastAsia"/>
        </w:rPr>
        <w:t>2。</w:t>
      </w:r>
    </w:p>
    <w:p>
      <w:pPr>
        <w:pStyle w:val="39"/>
        <w:spacing w:before="62" w:after="31"/>
        <w:rPr>
          <w:color w:val="auto"/>
        </w:rPr>
      </w:pPr>
      <w:r>
        <w:rPr>
          <w:color w:val="auto"/>
        </w:rPr>
        <w:t>表3-</w:t>
      </w:r>
      <w:r>
        <w:rPr>
          <w:rFonts w:hint="eastAsia"/>
          <w:color w:val="auto"/>
        </w:rPr>
        <w:t>2</w:t>
      </w:r>
      <w:r>
        <w:rPr>
          <w:color w:val="auto"/>
        </w:rPr>
        <w:t xml:space="preserve">  环评设备及实际设备清单对照一览表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800"/>
        <w:gridCol w:w="1385"/>
        <w:gridCol w:w="1020"/>
        <w:gridCol w:w="1672"/>
        <w:gridCol w:w="1673"/>
        <w:gridCol w:w="1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bookmarkStart w:id="20" w:name="_Hlk68264046"/>
            <w:bookmarkStart w:id="21" w:name="_Toc515273907"/>
            <w:r>
              <w:rPr>
                <w:rFonts w:hint="eastAsia"/>
                <w:b/>
                <w:bCs/>
                <w:color w:val="auto"/>
              </w:rPr>
              <w:t>序号</w:t>
            </w:r>
          </w:p>
        </w:tc>
        <w:tc>
          <w:tcPr>
            <w:tcW w:w="1253" w:type="pct"/>
            <w:gridSpan w:val="2"/>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设备名称</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单位</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本项目环评审批情况</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目前实际数量</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p>
        </w:tc>
        <w:tc>
          <w:tcPr>
            <w:tcW w:w="1253" w:type="pct"/>
            <w:gridSpan w:val="2"/>
            <w:vAlign w:val="center"/>
          </w:tcPr>
          <w:p>
            <w:pPr>
              <w:pStyle w:val="43"/>
              <w:rPr>
                <w:color w:val="auto"/>
              </w:rPr>
            </w:pPr>
            <w:r>
              <w:rPr>
                <w:color w:val="auto"/>
              </w:rPr>
              <w:t>整经机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color w:val="auto"/>
              </w:rPr>
              <w:t>2</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2</w:t>
            </w:r>
          </w:p>
        </w:tc>
        <w:tc>
          <w:tcPr>
            <w:tcW w:w="1253" w:type="pct"/>
            <w:gridSpan w:val="2"/>
            <w:vAlign w:val="center"/>
          </w:tcPr>
          <w:p>
            <w:pPr>
              <w:pStyle w:val="43"/>
              <w:rPr>
                <w:color w:val="auto"/>
              </w:rPr>
            </w:pPr>
            <w:r>
              <w:rPr>
                <w:color w:val="auto"/>
              </w:rPr>
              <w:t>必佳乐剑杆机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color w:val="auto"/>
              </w:rPr>
              <w:t>8</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3</w:t>
            </w:r>
          </w:p>
        </w:tc>
        <w:tc>
          <w:tcPr>
            <w:tcW w:w="1253" w:type="pct"/>
            <w:gridSpan w:val="2"/>
            <w:vAlign w:val="center"/>
          </w:tcPr>
          <w:p>
            <w:pPr>
              <w:pStyle w:val="43"/>
              <w:rPr>
                <w:color w:val="auto"/>
              </w:rPr>
            </w:pPr>
            <w:r>
              <w:rPr>
                <w:color w:val="auto"/>
              </w:rPr>
              <w:t>意大利物尼泰科涂层机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color w:val="auto"/>
              </w:rPr>
              <w:t>2</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2</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4</w:t>
            </w:r>
          </w:p>
        </w:tc>
        <w:tc>
          <w:tcPr>
            <w:tcW w:w="1253" w:type="pct"/>
            <w:gridSpan w:val="2"/>
            <w:vAlign w:val="center"/>
          </w:tcPr>
          <w:p>
            <w:pPr>
              <w:pStyle w:val="43"/>
              <w:rPr>
                <w:color w:val="auto"/>
              </w:rPr>
            </w:pPr>
            <w:r>
              <w:rPr>
                <w:color w:val="auto"/>
              </w:rPr>
              <w:t>转移印花设备</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0"/>
              </w:rPr>
            </w:pPr>
            <w:r>
              <w:rPr>
                <w:rFonts w:eastAsia="宋体" w:cs="Times New Roman"/>
                <w:sz w:val="21"/>
                <w:szCs w:val="20"/>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5</w:t>
            </w:r>
          </w:p>
        </w:tc>
        <w:tc>
          <w:tcPr>
            <w:tcW w:w="459" w:type="pct"/>
            <w:vMerge w:val="restart"/>
            <w:vAlign w:val="center"/>
          </w:tcPr>
          <w:p>
            <w:pPr>
              <w:pStyle w:val="43"/>
              <w:rPr>
                <w:color w:val="auto"/>
              </w:rPr>
            </w:pPr>
            <w:r>
              <w:rPr>
                <w:color w:val="auto"/>
              </w:rPr>
              <w:t>含</w:t>
            </w:r>
          </w:p>
        </w:tc>
        <w:tc>
          <w:tcPr>
            <w:tcW w:w="794" w:type="pct"/>
            <w:vAlign w:val="center"/>
          </w:tcPr>
          <w:p>
            <w:pPr>
              <w:pStyle w:val="43"/>
              <w:rPr>
                <w:color w:val="auto"/>
              </w:rPr>
            </w:pPr>
            <w:r>
              <w:rPr>
                <w:color w:val="auto"/>
              </w:rPr>
              <w:t>印刷机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6</w:t>
            </w:r>
          </w:p>
        </w:tc>
        <w:tc>
          <w:tcPr>
            <w:tcW w:w="459" w:type="pct"/>
            <w:vMerge w:val="continue"/>
            <w:vAlign w:val="center"/>
          </w:tcPr>
          <w:p>
            <w:pPr>
              <w:pStyle w:val="43"/>
              <w:rPr>
                <w:color w:val="auto"/>
              </w:rPr>
            </w:pPr>
          </w:p>
        </w:tc>
        <w:tc>
          <w:tcPr>
            <w:tcW w:w="794" w:type="pct"/>
            <w:vAlign w:val="center"/>
          </w:tcPr>
          <w:p>
            <w:pPr>
              <w:pStyle w:val="43"/>
              <w:rPr>
                <w:color w:val="auto"/>
              </w:rPr>
            </w:pPr>
            <w:r>
              <w:rPr>
                <w:color w:val="auto"/>
              </w:rPr>
              <w:t>转移印花机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7</w:t>
            </w:r>
          </w:p>
        </w:tc>
        <w:tc>
          <w:tcPr>
            <w:tcW w:w="1253" w:type="pct"/>
            <w:gridSpan w:val="2"/>
            <w:vAlign w:val="center"/>
          </w:tcPr>
          <w:p>
            <w:pPr>
              <w:pStyle w:val="43"/>
              <w:rPr>
                <w:color w:val="auto"/>
              </w:rPr>
            </w:pPr>
            <w:r>
              <w:rPr>
                <w:color w:val="auto"/>
              </w:rPr>
              <w:t>烫金机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8</w:t>
            </w:r>
          </w:p>
        </w:tc>
        <w:tc>
          <w:tcPr>
            <w:tcW w:w="1253" w:type="pct"/>
            <w:gridSpan w:val="2"/>
            <w:vAlign w:val="center"/>
          </w:tcPr>
          <w:p>
            <w:pPr>
              <w:pStyle w:val="43"/>
              <w:rPr>
                <w:color w:val="auto"/>
              </w:rPr>
            </w:pPr>
            <w:r>
              <w:rPr>
                <w:rFonts w:hint="eastAsia"/>
                <w:color w:val="auto"/>
              </w:rPr>
              <w:t>复合机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9</w:t>
            </w:r>
          </w:p>
        </w:tc>
        <w:tc>
          <w:tcPr>
            <w:tcW w:w="1253" w:type="pct"/>
            <w:gridSpan w:val="2"/>
            <w:vAlign w:val="center"/>
          </w:tcPr>
          <w:p>
            <w:pPr>
              <w:pStyle w:val="43"/>
              <w:rPr>
                <w:color w:val="auto"/>
              </w:rPr>
            </w:pPr>
            <w:r>
              <w:rPr>
                <w:rFonts w:hint="eastAsia"/>
                <w:color w:val="auto"/>
              </w:rPr>
              <w:t>打卷机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4</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0</w:t>
            </w:r>
          </w:p>
        </w:tc>
        <w:tc>
          <w:tcPr>
            <w:tcW w:w="1253" w:type="pct"/>
            <w:gridSpan w:val="2"/>
            <w:vAlign w:val="center"/>
          </w:tcPr>
          <w:p>
            <w:pPr>
              <w:pStyle w:val="43"/>
              <w:rPr>
                <w:color w:val="auto"/>
              </w:rPr>
            </w:pPr>
            <w:r>
              <w:rPr>
                <w:rFonts w:hint="eastAsia"/>
                <w:color w:val="auto"/>
              </w:rPr>
              <w:t>压花机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2</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1</w:t>
            </w:r>
          </w:p>
        </w:tc>
        <w:tc>
          <w:tcPr>
            <w:tcW w:w="1253" w:type="pct"/>
            <w:gridSpan w:val="2"/>
            <w:vAlign w:val="center"/>
          </w:tcPr>
          <w:p>
            <w:pPr>
              <w:pStyle w:val="43"/>
              <w:rPr>
                <w:color w:val="auto"/>
              </w:rPr>
            </w:pPr>
            <w:r>
              <w:rPr>
                <w:rFonts w:hint="eastAsia"/>
                <w:color w:val="auto"/>
              </w:rPr>
              <w:t>验布机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3</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暂未实施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2</w:t>
            </w:r>
          </w:p>
        </w:tc>
        <w:tc>
          <w:tcPr>
            <w:tcW w:w="1253" w:type="pct"/>
            <w:gridSpan w:val="2"/>
            <w:vAlign w:val="center"/>
          </w:tcPr>
          <w:p>
            <w:pPr>
              <w:pStyle w:val="43"/>
              <w:rPr>
                <w:color w:val="auto"/>
              </w:rPr>
            </w:pPr>
            <w:r>
              <w:rPr>
                <w:rFonts w:hint="eastAsia"/>
                <w:color w:val="auto"/>
              </w:rPr>
              <w:t>空压机</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3</w:t>
            </w:r>
          </w:p>
        </w:tc>
        <w:tc>
          <w:tcPr>
            <w:tcW w:w="1253" w:type="pct"/>
            <w:gridSpan w:val="2"/>
            <w:vAlign w:val="center"/>
          </w:tcPr>
          <w:p>
            <w:pPr>
              <w:pStyle w:val="43"/>
              <w:rPr>
                <w:color w:val="auto"/>
              </w:rPr>
            </w:pPr>
            <w:r>
              <w:rPr>
                <w:rFonts w:hint="eastAsia"/>
                <w:color w:val="auto"/>
              </w:rPr>
              <w:t>二级水喷淋+除湿装置+活性炭吸附装置</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套</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4</w:t>
            </w:r>
          </w:p>
        </w:tc>
        <w:tc>
          <w:tcPr>
            <w:tcW w:w="1253" w:type="pct"/>
            <w:gridSpan w:val="2"/>
            <w:vAlign w:val="center"/>
          </w:tcPr>
          <w:p>
            <w:pPr>
              <w:pStyle w:val="43"/>
              <w:rPr>
                <w:color w:val="auto"/>
              </w:rPr>
            </w:pPr>
            <w:r>
              <w:rPr>
                <w:rFonts w:hint="eastAsia"/>
                <w:color w:val="auto"/>
              </w:rPr>
              <w:t>水喷淋+除湿装置+高压静电装置</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套</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0</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5</w:t>
            </w:r>
          </w:p>
        </w:tc>
        <w:tc>
          <w:tcPr>
            <w:tcW w:w="1253" w:type="pct"/>
            <w:gridSpan w:val="2"/>
            <w:vAlign w:val="center"/>
          </w:tcPr>
          <w:p>
            <w:pPr>
              <w:pStyle w:val="43"/>
              <w:rPr>
                <w:color w:val="auto"/>
              </w:rPr>
            </w:pPr>
            <w:r>
              <w:rPr>
                <w:rFonts w:hint="eastAsia"/>
                <w:color w:val="auto"/>
              </w:rPr>
              <w:t>二级水喷淋+除湿装置+高压静电+光催化氧化（除臭）装置</w:t>
            </w:r>
          </w:p>
        </w:tc>
        <w:tc>
          <w:tcPr>
            <w:tcW w:w="58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套</w:t>
            </w:r>
          </w:p>
        </w:tc>
        <w:tc>
          <w:tcPr>
            <w:tcW w:w="959" w:type="pct"/>
            <w:vAlign w:val="center"/>
          </w:tcPr>
          <w:p>
            <w:pPr>
              <w:pStyle w:val="43"/>
              <w:rPr>
                <w:color w:val="auto"/>
              </w:rPr>
            </w:pPr>
            <w:r>
              <w:rPr>
                <w:rFonts w:hint="eastAsia"/>
                <w:color w:val="auto"/>
              </w:rPr>
              <w:t>1</w:t>
            </w:r>
          </w:p>
        </w:tc>
        <w:tc>
          <w:tcPr>
            <w:tcW w:w="95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p>
        </w:tc>
        <w:tc>
          <w:tcPr>
            <w:tcW w:w="82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000" w:type="pct"/>
            <w:gridSpan w:val="7"/>
            <w:tcBorders>
              <w:top w:val="single" w:color="auto" w:sz="4" w:space="0"/>
              <w:left w:val="single" w:color="auto" w:sz="4" w:space="0"/>
              <w:bottom w:val="single" w:color="auto" w:sz="4" w:space="0"/>
              <w:right w:val="single" w:color="auto" w:sz="4" w:space="0"/>
            </w:tcBorders>
            <w:vAlign w:val="center"/>
          </w:tcPr>
          <w:p>
            <w:pPr>
              <w:pStyle w:val="43"/>
              <w:jc w:val="both"/>
              <w:rPr>
                <w:color w:val="auto"/>
              </w:rPr>
            </w:pPr>
            <w:r>
              <w:rPr>
                <w:rFonts w:hint="eastAsia"/>
                <w:color w:val="auto"/>
              </w:rPr>
              <w:t>备注：*本项目在实施过程中对涂层废气处理工艺进行提升改造，提升后的处理工艺为“二级水喷淋+除湿装置+高压静电+光催化氧化（除臭）处理装置”。</w:t>
            </w:r>
          </w:p>
        </w:tc>
      </w:tr>
      <w:bookmarkEnd w:id="20"/>
    </w:tbl>
    <w:p>
      <w:pPr>
        <w:spacing w:before="156" w:beforeLines="50"/>
        <w:ind w:firstLine="480"/>
      </w:pPr>
      <w:r>
        <w:rPr>
          <w:rFonts w:hint="eastAsia"/>
        </w:rPr>
        <w:t>我公司员工合计39人，全厂实行二班制生产，每班工作时间8小时，全年工作300天。公司未设置食堂。</w:t>
      </w:r>
    </w:p>
    <w:p>
      <w:pPr>
        <w:pStyle w:val="5"/>
        <w:rPr>
          <w:rFonts w:cs="Times New Roman"/>
          <w:szCs w:val="24"/>
        </w:rPr>
      </w:pPr>
      <w:bookmarkStart w:id="22" w:name="_Toc81808491"/>
      <w:r>
        <w:rPr>
          <w:rFonts w:cs="Times New Roman"/>
          <w:szCs w:val="24"/>
        </w:rPr>
        <w:t>3.3主要原辅材料</w:t>
      </w:r>
      <w:bookmarkEnd w:id="21"/>
      <w:bookmarkEnd w:id="22"/>
    </w:p>
    <w:p>
      <w:pPr>
        <w:ind w:firstLine="480"/>
        <w:rPr>
          <w:rFonts w:cs="Times New Roman"/>
        </w:rPr>
      </w:pPr>
      <w:r>
        <w:rPr>
          <w:rFonts w:hint="eastAsia" w:cs="Times New Roman"/>
        </w:rPr>
        <w:t>全厂</w:t>
      </w:r>
      <w:r>
        <w:rPr>
          <w:rFonts w:cs="Times New Roman"/>
        </w:rPr>
        <w:t>主要</w:t>
      </w:r>
      <w:r>
        <w:rPr>
          <w:rFonts w:hint="eastAsia" w:cs="Times New Roman"/>
        </w:rPr>
        <w:t>原辅材料</w:t>
      </w:r>
      <w:r>
        <w:rPr>
          <w:rFonts w:cs="Times New Roman"/>
        </w:rPr>
        <w:t>及能源消耗见表3-</w:t>
      </w:r>
      <w:r>
        <w:rPr>
          <w:rFonts w:hint="eastAsia" w:cs="Times New Roman"/>
        </w:rPr>
        <w:t>3</w:t>
      </w:r>
      <w:r>
        <w:rPr>
          <w:rFonts w:cs="Times New Roman"/>
        </w:rPr>
        <w:t>。</w:t>
      </w:r>
    </w:p>
    <w:p>
      <w:pPr>
        <w:pStyle w:val="39"/>
        <w:spacing w:before="62" w:after="31"/>
        <w:rPr>
          <w:color w:val="auto"/>
        </w:rPr>
      </w:pPr>
      <w:r>
        <w:rPr>
          <w:color w:val="auto"/>
        </w:rPr>
        <w:t>表3-</w:t>
      </w:r>
      <w:r>
        <w:rPr>
          <w:rFonts w:hint="eastAsia"/>
          <w:color w:val="auto"/>
        </w:rPr>
        <w:t>3</w:t>
      </w:r>
      <w:r>
        <w:rPr>
          <w:color w:val="auto"/>
        </w:rPr>
        <w:t xml:space="preserve">  主要原辅材料及能源消耗一览表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829"/>
        <w:gridCol w:w="1442"/>
        <w:gridCol w:w="2409"/>
        <w:gridCol w:w="2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0"/>
              </w:rPr>
            </w:pPr>
            <w:r>
              <w:rPr>
                <w:rFonts w:hint="eastAsia" w:eastAsia="宋体" w:cs="Times New Roman"/>
                <w:b/>
                <w:bCs/>
                <w:sz w:val="21"/>
                <w:szCs w:val="20"/>
              </w:rPr>
              <w:t>序号</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0"/>
              </w:rPr>
            </w:pPr>
            <w:r>
              <w:rPr>
                <w:rFonts w:hint="eastAsia" w:eastAsia="宋体" w:cs="Times New Roman"/>
                <w:b/>
                <w:bCs/>
                <w:sz w:val="21"/>
                <w:szCs w:val="20"/>
              </w:rPr>
              <w:t>原辅材料名称</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0"/>
              </w:rPr>
            </w:pPr>
            <w:r>
              <w:rPr>
                <w:rFonts w:hint="eastAsia" w:eastAsia="宋体" w:cs="Times New Roman"/>
                <w:b/>
                <w:bCs/>
                <w:sz w:val="21"/>
                <w:szCs w:val="20"/>
              </w:rPr>
              <w:t>单位</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0"/>
              </w:rPr>
            </w:pPr>
            <w:r>
              <w:rPr>
                <w:rFonts w:hint="eastAsia" w:eastAsia="宋体" w:cs="Times New Roman"/>
                <w:b/>
                <w:bCs/>
                <w:sz w:val="21"/>
                <w:szCs w:val="20"/>
              </w:rPr>
              <w:t>环评审批年消耗量</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b/>
                <w:bCs/>
                <w:sz w:val="21"/>
                <w:szCs w:val="20"/>
              </w:rPr>
            </w:pPr>
            <w:r>
              <w:rPr>
                <w:rFonts w:hint="eastAsia" w:eastAsia="宋体" w:cs="Times New Roman"/>
                <w:b/>
                <w:bCs/>
                <w:sz w:val="21"/>
                <w:szCs w:val="20"/>
              </w:rPr>
              <w:t>实际消耗量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1</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纱线*</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2</w:t>
            </w:r>
            <w:r>
              <w:rPr>
                <w:rFonts w:eastAsia="宋体" w:cs="Times New Roman"/>
                <w:sz w:val="21"/>
                <w:szCs w:val="20"/>
              </w:rPr>
              <w:t>800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2</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坯布*</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万m/a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3</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经编复合底布</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万m/a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68</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4</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水性复合胶</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2</w:t>
            </w:r>
            <w:r>
              <w:rPr>
                <w:rFonts w:eastAsia="宋体" w:cs="Times New Roman"/>
                <w:sz w:val="21"/>
                <w:szCs w:val="20"/>
              </w:rPr>
              <w:t>5</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2</w:t>
            </w:r>
            <w:r>
              <w:rPr>
                <w:rFonts w:eastAsia="宋体" w:cs="Times New Roman"/>
                <w:sz w:val="21"/>
                <w:szCs w:val="20"/>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5</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印花纸</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6</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水性印花油墨</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2</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7</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烫金膜</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2</w:t>
            </w:r>
            <w:r>
              <w:rPr>
                <w:rFonts w:eastAsia="宋体" w:cs="Times New Roman"/>
                <w:sz w:val="21"/>
                <w:szCs w:val="20"/>
              </w:rPr>
              <w:t>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8</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水性聚氨酯胶</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2</w:t>
            </w:r>
            <w:r>
              <w:rPr>
                <w:rFonts w:eastAsia="宋体" w:cs="Times New Roman"/>
                <w:sz w:val="21"/>
                <w:szCs w:val="20"/>
              </w:rPr>
              <w:t>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9</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水性聚丙烯酸涂层胶</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46.7</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0</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水性阻燃涂层胶</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12.5</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1</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水性防水涂层胶</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6</w:t>
            </w:r>
            <w:r>
              <w:rPr>
                <w:rFonts w:eastAsia="宋体" w:cs="Times New Roman"/>
                <w:sz w:val="21"/>
                <w:szCs w:val="20"/>
              </w:rPr>
              <w:t>6.7</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6</w:t>
            </w:r>
            <w:r>
              <w:rPr>
                <w:rFonts w:eastAsia="宋体" w:cs="Times New Roman"/>
                <w:sz w:val="21"/>
                <w:szCs w:val="20"/>
              </w:rPr>
              <w:t>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2</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整理剂</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9</w:t>
            </w:r>
            <w:r>
              <w:rPr>
                <w:rFonts w:eastAsia="宋体" w:cs="Times New Roman"/>
                <w:sz w:val="21"/>
                <w:szCs w:val="20"/>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3</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防污助剂</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9</w:t>
            </w:r>
            <w:r>
              <w:rPr>
                <w:rFonts w:eastAsia="宋体" w:cs="Times New Roman"/>
                <w:sz w:val="21"/>
                <w:szCs w:val="20"/>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4</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水</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7805</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33</w:t>
            </w:r>
            <w:r>
              <w:rPr>
                <w:rFonts w:eastAsia="宋体" w:cs="Times New Roman"/>
                <w:sz w:val="21"/>
                <w:szCs w:val="2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5</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电</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万</w:t>
            </w:r>
            <w:r>
              <w:rPr>
                <w:rFonts w:eastAsia="宋体" w:cs="Times New Roman"/>
                <w:sz w:val="21"/>
                <w:szCs w:val="20"/>
              </w:rPr>
              <w:t>k</w:t>
            </w:r>
            <w:r>
              <w:rPr>
                <w:rFonts w:hint="eastAsia" w:eastAsia="宋体" w:cs="Times New Roman"/>
                <w:sz w:val="21"/>
                <w:szCs w:val="20"/>
              </w:rPr>
              <w:t>W</w:t>
            </w:r>
            <w:r>
              <w:rPr>
                <w:rFonts w:eastAsia="宋体" w:cs="Times New Roman"/>
                <w:sz w:val="21"/>
                <w:szCs w:val="20"/>
              </w:rPr>
              <w:t>h/a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300</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1</w:t>
            </w:r>
            <w:r>
              <w:rPr>
                <w:rFonts w:eastAsia="宋体" w:cs="Times New Roman"/>
                <w:sz w:val="21"/>
                <w:szCs w:val="20"/>
              </w:rPr>
              <w:t>6</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天然气</w:t>
            </w:r>
          </w:p>
        </w:tc>
        <w:tc>
          <w:tcPr>
            <w:tcW w:w="8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万Nm³</w:t>
            </w:r>
            <w:r>
              <w:rPr>
                <w:rFonts w:eastAsia="宋体" w:cs="Times New Roman"/>
                <w:sz w:val="21"/>
                <w:szCs w:val="20"/>
              </w:rPr>
              <w:t>/a</w:t>
            </w:r>
          </w:p>
        </w:tc>
        <w:tc>
          <w:tcPr>
            <w:tcW w:w="138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24.6</w:t>
            </w:r>
          </w:p>
        </w:tc>
        <w:tc>
          <w:tcPr>
            <w:tcW w:w="13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pPr>
              <w:pStyle w:val="43"/>
              <w:jc w:val="both"/>
              <w:rPr>
                <w:rFonts w:eastAsia="宋体" w:cs="Times New Roman"/>
                <w:color w:val="auto"/>
                <w:szCs w:val="20"/>
              </w:rPr>
            </w:pPr>
            <w:r>
              <w:rPr>
                <w:rFonts w:hint="eastAsia"/>
                <w:color w:val="auto"/>
              </w:rPr>
              <w:t>备注：*本项目在实施过程中整经机、剑杆机暂未购置，织造工艺暂未实施，现阶段为外购坯布。</w:t>
            </w:r>
          </w:p>
        </w:tc>
      </w:tr>
    </w:tbl>
    <w:p>
      <w:pPr>
        <w:ind w:firstLine="480"/>
      </w:pPr>
      <w:bookmarkStart w:id="23" w:name="_Toc515273908"/>
      <w:bookmarkStart w:id="24" w:name="_Toc81808492"/>
      <w:r>
        <w:t>主要原辅材料理化性质如下</w:t>
      </w:r>
      <w:r>
        <w:rPr>
          <w:rFonts w:hint="eastAsia"/>
        </w:rPr>
        <w:t>：</w:t>
      </w:r>
    </w:p>
    <w:p>
      <w:pPr>
        <w:ind w:firstLine="480"/>
      </w:pPr>
      <w:r>
        <w:rPr>
          <w:rFonts w:hint="eastAsia"/>
        </w:rPr>
        <w:t>水性复合胶（复合工序使用）：水性复合胶是以水代替有机溶剂作为分散介</w:t>
      </w:r>
    </w:p>
    <w:p>
      <w:pPr>
        <w:ind w:firstLine="0" w:firstLineChars="0"/>
      </w:pPr>
      <w:r>
        <w:rPr>
          <w:rFonts w:hint="eastAsia"/>
        </w:rPr>
        <w:t>质的新型胶水。水性复合胶以水为溶剂，无污染、安全可靠、机械性能优良、相容性好、易于改性等优点。本项目所用水性复合胶水成分为丙烯酸树脂52%、水44%、醇醚类助剂4%。</w:t>
      </w:r>
    </w:p>
    <w:p>
      <w:pPr>
        <w:ind w:firstLine="480"/>
      </w:pPr>
      <w:r>
        <w:rPr>
          <w:rFonts w:hint="eastAsia"/>
        </w:rPr>
        <w:t>水性聚丙烯酸酯涂层胶（涂层工序使用）：一种水性涂料，以水作为分散介</w:t>
      </w:r>
    </w:p>
    <w:p>
      <w:pPr>
        <w:ind w:firstLine="0" w:firstLineChars="0"/>
      </w:pPr>
      <w:r>
        <w:rPr>
          <w:rFonts w:hint="eastAsia"/>
        </w:rPr>
        <w:t>质，高聚物分子均匀地分散在水中形成稳定的乳液作为成膜物质，具有防腐、耐碱、耐水、成膜性好、保色性佳、无污染、施工性能良好、使用安全等特点。同时具有性能可调整性好，无有机溶剂释放等优点，它有较高的原始光泽，优良的保光、保色性及户外耐久性，良好的抗污性、耐碱性及擦洗性。 成份为醋酸乙烯酯-丙烯酸酯共聚乳液44%、水55%、助剂（增稠剂、稳定剂、交联剂等）1%。</w:t>
      </w:r>
    </w:p>
    <w:p>
      <w:pPr>
        <w:ind w:firstLine="480"/>
      </w:pPr>
      <w:r>
        <w:rPr>
          <w:rFonts w:hint="eastAsia"/>
        </w:rPr>
        <w:t>水性阻燃涂层胶（涂层工序使用）：白色乳胶，用于各种纤维织物的阻燃涂层加工整理，离子型：阴，pH（1%水溶液）：在常温常压下稳定，主要成分为10%聚丙烯酸酯、15%聚甲基丙烯酸、15%聚甲基丙烯酸甲酯、10%聚丙烯酸丁酯、十溴二苯乙烷20%、水30%。</w:t>
      </w:r>
    </w:p>
    <w:p>
      <w:pPr>
        <w:ind w:firstLine="480"/>
      </w:pPr>
      <w:r>
        <w:rPr>
          <w:rFonts w:hint="eastAsia"/>
        </w:rPr>
        <w:t>水性防水涂层胶（涂层工序使用）：白色乳胶，用于各种纤维织物的防水涂层加工整理。主要成分为氟烷基丙烯酸酯共聚物15%、三聚1,2-丙二醇2%、乙氧基(富C</w:t>
      </w:r>
      <w:r>
        <w:rPr>
          <w:rFonts w:hint="eastAsia"/>
          <w:vertAlign w:val="subscript"/>
        </w:rPr>
        <w:t>13</w:t>
      </w:r>
      <w:r>
        <w:rPr>
          <w:rFonts w:hint="eastAsia"/>
        </w:rPr>
        <w:t>、异C</w:t>
      </w:r>
      <w:r>
        <w:rPr>
          <w:rFonts w:hint="eastAsia"/>
          <w:vertAlign w:val="subscript"/>
        </w:rPr>
        <w:t>11-14</w:t>
      </w:r>
      <w:r>
        <w:rPr>
          <w:rFonts w:hint="eastAsia"/>
        </w:rPr>
        <w:t xml:space="preserve"> )醇5%、其他助剂2%、水76%。</w:t>
      </w:r>
    </w:p>
    <w:p>
      <w:pPr>
        <w:ind w:firstLine="480"/>
      </w:pPr>
      <w:r>
        <w:rPr>
          <w:rFonts w:hint="eastAsia"/>
        </w:rPr>
        <w:t>整理剂：主要成分为6</w:t>
      </w:r>
      <w:r>
        <w:t>7</w:t>
      </w:r>
      <w:r>
        <w:rPr>
          <w:rFonts w:hint="eastAsia"/>
        </w:rPr>
        <w:t>%</w:t>
      </w:r>
      <w:r>
        <w:t>阻燃浆料</w:t>
      </w:r>
      <w:r>
        <w:rPr>
          <w:rFonts w:hint="eastAsia"/>
        </w:rPr>
        <w:t>、3</w:t>
      </w:r>
      <w:r>
        <w:t>3</w:t>
      </w:r>
      <w:r>
        <w:rPr>
          <w:rFonts w:hint="eastAsia"/>
        </w:rPr>
        <w:t>%</w:t>
      </w:r>
      <w:r>
        <w:t>水</w:t>
      </w:r>
      <w:r>
        <w:rPr>
          <w:rFonts w:hint="eastAsia"/>
        </w:rPr>
        <w:t>。</w:t>
      </w:r>
      <w:r>
        <w:t>原液和水配比</w:t>
      </w:r>
      <w:r>
        <w:rPr>
          <w:rFonts w:hint="eastAsia"/>
        </w:rPr>
        <w:t>1:2</w:t>
      </w:r>
      <w:r>
        <w:t>0稀释后使用</w:t>
      </w:r>
      <w:r>
        <w:rPr>
          <w:rFonts w:hint="eastAsia"/>
        </w:rPr>
        <w:t>。</w:t>
      </w:r>
    </w:p>
    <w:p>
      <w:pPr>
        <w:ind w:firstLine="480"/>
      </w:pPr>
      <w:r>
        <w:t>防污助剂</w:t>
      </w:r>
      <w:r>
        <w:rPr>
          <w:rFonts w:hint="eastAsia"/>
        </w:rPr>
        <w:t>：</w:t>
      </w:r>
      <w:r>
        <w:t>主要成分为硅酸铝</w:t>
      </w:r>
      <w:r>
        <w:rPr>
          <w:rFonts w:hint="eastAsia"/>
        </w:rPr>
        <w:t>，</w:t>
      </w:r>
      <w:r>
        <w:t>其中</w:t>
      </w:r>
      <w:r>
        <w:rPr>
          <w:rFonts w:hint="eastAsia"/>
        </w:rPr>
        <w:t>A</w:t>
      </w:r>
      <w:r>
        <w:t>l</w:t>
      </w:r>
      <w:r>
        <w:rPr>
          <w:vertAlign w:val="subscript"/>
        </w:rPr>
        <w:t>2</w:t>
      </w:r>
      <w:r>
        <w:t>O</w:t>
      </w:r>
      <w:r>
        <w:rPr>
          <w:vertAlign w:val="subscript"/>
        </w:rPr>
        <w:t>3</w:t>
      </w:r>
      <w:r>
        <w:t>45.95</w:t>
      </w:r>
      <w:r>
        <w:rPr>
          <w:rFonts w:hint="eastAsia"/>
        </w:rPr>
        <w:t>%、S</w:t>
      </w:r>
      <w:r>
        <w:t>iO</w:t>
      </w:r>
      <w:r>
        <w:rPr>
          <w:vertAlign w:val="subscript"/>
        </w:rPr>
        <w:t>2</w:t>
      </w:r>
      <w:r>
        <w:t>54.05</w:t>
      </w:r>
      <w:r>
        <w:rPr>
          <w:rFonts w:hint="eastAsia"/>
        </w:rPr>
        <w:t>%。</w:t>
      </w:r>
    </w:p>
    <w:p>
      <w:pPr>
        <w:pStyle w:val="5"/>
      </w:pPr>
      <w:r>
        <w:rPr>
          <w:szCs w:val="24"/>
        </w:rPr>
        <w:t>3.4</w:t>
      </w:r>
      <w:bookmarkEnd w:id="23"/>
      <w:r>
        <w:rPr>
          <w:rFonts w:hint="eastAsia"/>
        </w:rPr>
        <w:t>用水情况</w:t>
      </w:r>
      <w:bookmarkEnd w:id="24"/>
    </w:p>
    <w:p>
      <w:pPr>
        <w:ind w:firstLine="480"/>
      </w:pPr>
      <w:r>
        <w:t>本项目</w:t>
      </w:r>
      <w:r>
        <w:rPr>
          <w:rFonts w:hint="eastAsia"/>
        </w:rPr>
        <w:t>用水由桐乡市自来水管网提供。根据公司自来水水表数据显示，我公司</w:t>
      </w:r>
      <w:r>
        <w:rPr>
          <w:rFonts w:hint="eastAsia"/>
          <w:color w:val="FF0000"/>
        </w:rPr>
        <w:t>2022年</w:t>
      </w:r>
      <w:r>
        <w:rPr>
          <w:color w:val="FF0000"/>
        </w:rPr>
        <w:t>9</w:t>
      </w:r>
      <w:r>
        <w:rPr>
          <w:rFonts w:hint="eastAsia"/>
          <w:color w:val="FF0000"/>
        </w:rPr>
        <w:t>月1日-</w:t>
      </w:r>
      <w:r>
        <w:rPr>
          <w:color w:val="FF0000"/>
        </w:rPr>
        <w:t>10</w:t>
      </w:r>
      <w:r>
        <w:rPr>
          <w:rFonts w:hint="eastAsia"/>
          <w:color w:val="FF0000"/>
        </w:rPr>
        <w:t>月</w:t>
      </w:r>
      <w:r>
        <w:rPr>
          <w:color w:val="FF0000"/>
        </w:rPr>
        <w:t>31</w:t>
      </w:r>
      <w:r>
        <w:rPr>
          <w:rFonts w:hint="eastAsia"/>
          <w:color w:val="FF0000"/>
        </w:rPr>
        <w:t>日的用水量合计540.8t，期间工作天数为48天，公司全年工作时间为300天，折算为全年用水量约为3380t/a</w:t>
      </w:r>
      <w:r>
        <w:rPr>
          <w:rFonts w:hint="eastAsia"/>
        </w:rPr>
        <w:t>。</w:t>
      </w:r>
    </w:p>
    <w:p>
      <w:pPr>
        <w:ind w:firstLine="480"/>
      </w:pPr>
      <w:r>
        <w:rPr>
          <w:rFonts w:hint="eastAsia"/>
        </w:rPr>
        <w:t>公司主要的用水环节为废气处理水喷淋装置用水、调浆容器清洗用水、助剂稀释以及员工生活用水。废气处理喷淋水循环使用定期排放，根据企业提供的废气处理设施设计方案，复合废气处理设施单个水喷淋装置水箱一次填充量为2吨，每</w:t>
      </w:r>
      <w:r>
        <w:t>3</w:t>
      </w:r>
      <w:r>
        <w:rPr>
          <w:rFonts w:hint="eastAsia"/>
        </w:rPr>
        <w:t>天全部更换一次，本项目复合废气处理</w:t>
      </w:r>
      <w:r>
        <w:t>工艺中共有2</w:t>
      </w:r>
      <w:r>
        <w:rPr>
          <w:rFonts w:hint="eastAsia"/>
        </w:rPr>
        <w:t>个水喷淋装置水箱，则单次废水排放量约</w:t>
      </w:r>
      <w:r>
        <w:t>3.6吨</w:t>
      </w:r>
      <w:r>
        <w:rPr>
          <w:rFonts w:hint="eastAsia"/>
        </w:rPr>
        <w:t>，；涂层废气处理设施单个水喷淋装置水箱一次填充量为</w:t>
      </w:r>
      <w:r>
        <w:t>6</w:t>
      </w:r>
      <w:r>
        <w:rPr>
          <w:rFonts w:hint="eastAsia"/>
        </w:rPr>
        <w:t>吨，每</w:t>
      </w:r>
      <w:r>
        <w:t>3</w:t>
      </w:r>
      <w:r>
        <w:rPr>
          <w:rFonts w:hint="eastAsia"/>
        </w:rPr>
        <w:t>天全部更换一次，本项目涂层废气处理</w:t>
      </w:r>
      <w:r>
        <w:t>工艺中共有2</w:t>
      </w:r>
      <w:r>
        <w:rPr>
          <w:rFonts w:hint="eastAsia"/>
        </w:rPr>
        <w:t>个水喷淋装置水箱，单次废水排放量约</w:t>
      </w:r>
      <w:r>
        <w:t>10.8吨</w:t>
      </w:r>
      <w:r>
        <w:rPr>
          <w:rFonts w:hint="eastAsia"/>
        </w:rPr>
        <w:t>，则水喷淋装置年消耗水量约2</w:t>
      </w:r>
      <w:r>
        <w:t>575t</w:t>
      </w:r>
      <w:r>
        <w:rPr>
          <w:rFonts w:hint="eastAsia"/>
        </w:rPr>
        <w:t>，排放量约</w:t>
      </w:r>
      <w:r>
        <w:t>1440</w:t>
      </w:r>
      <w:r>
        <w:rPr>
          <w:rFonts w:hint="eastAsia"/>
        </w:rPr>
        <w:t>t/a；调浆容器清洗用水年耗量约280t，产生的清洗废水约252t/a；助剂稀释用水年耗量约1</w:t>
      </w:r>
      <w:r>
        <w:t>90t</w:t>
      </w:r>
      <w:r>
        <w:rPr>
          <w:rFonts w:hint="eastAsia"/>
        </w:rPr>
        <w:t>；厂区员工生活用水年耗量约525t，生活污水产生量按用水量的85%计，则公司全厂生活污水产生量约446t/a。</w:t>
      </w:r>
    </w:p>
    <w:p>
      <w:pPr>
        <w:ind w:firstLine="480"/>
      </w:pPr>
      <w:r>
        <w:rPr>
          <w:rFonts w:hint="eastAsia"/>
        </w:rPr>
        <w:t>公司喷淋废水、调浆容器清洗废水经厂区污水站 “隔油池+调节池+</w:t>
      </w:r>
      <w:r>
        <w:rPr>
          <w:rFonts w:cs="Times New Roman"/>
        </w:rPr>
        <w:t>AO</w:t>
      </w:r>
      <w:r>
        <w:rPr>
          <w:rFonts w:hint="eastAsia"/>
        </w:rPr>
        <w:t>池+混凝沉淀”处理后与经化粪池预处理后的员工生活污水一同达到《纺织染整工业水污染物排放标准》（GB4287-2012）及其修改单（环保部公告2015年第19号），以及《关于&lt;纺织染整工业水污染物排放标准&gt;（GB4287-2012）部分指标执行要求的公告》（环保部公告2015年第41号）中相应的排放限值后，纳入市政污水管网，公司全厂废水排放量为</w:t>
      </w:r>
      <w:r>
        <w:t>2138</w:t>
      </w:r>
      <w:r>
        <w:rPr>
          <w:rFonts w:hint="eastAsia"/>
        </w:rPr>
        <w:t>t/a，最终经桐乡市城市污水处理有限责任公司集中处理达到《城镇污水处理厂污染物排放标准》（GB18918-2002）表1中一级A标准后排放钱塘江。</w:t>
      </w:r>
    </w:p>
    <w:p>
      <w:pPr>
        <w:pStyle w:val="2"/>
        <w:spacing w:after="0"/>
        <w:ind w:left="0" w:leftChars="0" w:firstLine="0" w:firstLineChars="0"/>
        <w:jc w:val="center"/>
      </w:pPr>
      <w:r>
        <w:drawing>
          <wp:inline distT="0" distB="0" distL="0" distR="0">
            <wp:extent cx="5400040" cy="24415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5400040" cy="2441575"/>
                    </a:xfrm>
                    <a:prstGeom prst="rect">
                      <a:avLst/>
                    </a:prstGeom>
                  </pic:spPr>
                </pic:pic>
              </a:graphicData>
            </a:graphic>
          </wp:inline>
        </w:drawing>
      </w:r>
    </w:p>
    <w:p>
      <w:pPr>
        <w:pStyle w:val="39"/>
        <w:spacing w:before="0" w:beforeLines="0" w:after="31"/>
        <w:rPr>
          <w:color w:val="auto"/>
        </w:rPr>
      </w:pPr>
      <w:r>
        <w:rPr>
          <w:rFonts w:hint="eastAsia"/>
          <w:color w:val="auto"/>
        </w:rPr>
        <w:t>图</w:t>
      </w:r>
      <w:r>
        <w:rPr>
          <w:color w:val="auto"/>
        </w:rPr>
        <w:t xml:space="preserve">3-4  </w:t>
      </w:r>
      <w:r>
        <w:rPr>
          <w:rFonts w:hint="eastAsia"/>
          <w:color w:val="auto"/>
        </w:rPr>
        <w:t>公司年水平衡图</w:t>
      </w:r>
    </w:p>
    <w:p>
      <w:pPr>
        <w:pStyle w:val="5"/>
      </w:pPr>
      <w:bookmarkStart w:id="25" w:name="_Toc515273909"/>
      <w:bookmarkStart w:id="26" w:name="_Toc81808493"/>
      <w:r>
        <w:t>3.5生产工艺</w:t>
      </w:r>
      <w:bookmarkEnd w:id="25"/>
      <w:bookmarkEnd w:id="26"/>
    </w:p>
    <w:p>
      <w:pPr>
        <w:pStyle w:val="6"/>
      </w:pPr>
      <w:bookmarkStart w:id="27" w:name="_Toc81808494"/>
      <w:bookmarkStart w:id="28" w:name="_Toc81808382"/>
      <w:r>
        <w:rPr>
          <w:rFonts w:hint="eastAsia"/>
        </w:rPr>
        <w:t>3</w:t>
      </w:r>
      <w:r>
        <w:t>.5.1</w:t>
      </w:r>
      <w:r>
        <w:rPr>
          <w:rFonts w:hint="eastAsia"/>
        </w:rPr>
        <w:t>生产工艺流程</w:t>
      </w:r>
      <w:bookmarkEnd w:id="27"/>
      <w:bookmarkEnd w:id="28"/>
    </w:p>
    <w:p>
      <w:pPr>
        <w:ind w:firstLine="480"/>
      </w:pPr>
      <w:r>
        <w:rPr>
          <w:rFonts w:hint="eastAsia"/>
        </w:rPr>
        <w:t>本项目主要从事功能性装饰面料的生产加工，具体生产工艺流程如图3</w:t>
      </w:r>
      <w:r>
        <w:t>-5</w:t>
      </w:r>
      <w:r>
        <w:rPr>
          <w:rFonts w:hint="eastAsia"/>
        </w:rPr>
        <w:t>。</w:t>
      </w:r>
    </w:p>
    <w:p>
      <w:pPr>
        <w:ind w:firstLine="0" w:firstLineChars="0"/>
        <w:jc w:val="center"/>
      </w:pPr>
      <w:r>
        <w:drawing>
          <wp:inline distT="0" distB="0" distL="0" distR="0">
            <wp:extent cx="5260340" cy="321183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1"/>
                    <a:srcRect r="2576"/>
                    <a:stretch>
                      <a:fillRect/>
                    </a:stretch>
                  </pic:blipFill>
                  <pic:spPr>
                    <a:xfrm>
                      <a:off x="0" y="0"/>
                      <a:ext cx="5260932" cy="3211830"/>
                    </a:xfrm>
                    <a:prstGeom prst="rect">
                      <a:avLst/>
                    </a:prstGeom>
                    <a:ln>
                      <a:noFill/>
                    </a:ln>
                  </pic:spPr>
                </pic:pic>
              </a:graphicData>
            </a:graphic>
          </wp:inline>
        </w:drawing>
      </w:r>
    </w:p>
    <w:p>
      <w:pPr>
        <w:pStyle w:val="35"/>
        <w:spacing w:before="0" w:beforeLines="0" w:after="0" w:afterLines="0"/>
      </w:pPr>
      <w:r>
        <w:rPr>
          <w:rFonts w:hint="eastAsia"/>
        </w:rPr>
        <w:t>图3</w:t>
      </w:r>
      <w:r>
        <w:t>-</w:t>
      </w:r>
      <w:r>
        <w:rPr>
          <w:rFonts w:hint="eastAsia"/>
        </w:rPr>
        <w:t>5</w:t>
      </w:r>
      <w:r>
        <w:t xml:space="preserve">  </w:t>
      </w:r>
      <w:r>
        <w:rPr>
          <w:rFonts w:hint="eastAsia"/>
        </w:rPr>
        <w:t>公司生产工艺流程及产污环节图</w:t>
      </w:r>
    </w:p>
    <w:p>
      <w:pPr>
        <w:ind w:firstLine="482"/>
        <w:rPr>
          <w:b/>
          <w:bCs/>
        </w:rPr>
      </w:pPr>
      <w:r>
        <w:rPr>
          <w:b/>
          <w:bCs/>
        </w:rPr>
        <w:t>工艺流程说明：</w:t>
      </w:r>
    </w:p>
    <w:p>
      <w:pPr>
        <w:ind w:firstLine="482"/>
      </w:pPr>
      <w:bookmarkStart w:id="29" w:name="_Toc81808495"/>
      <w:bookmarkStart w:id="30" w:name="_Toc81808383"/>
      <w:bookmarkStart w:id="31" w:name="_Toc515273910"/>
      <w:r>
        <w:rPr>
          <w:rFonts w:hint="eastAsia"/>
          <w:b/>
          <w:bCs/>
        </w:rPr>
        <w:t>涂层</w:t>
      </w:r>
      <w:r>
        <w:rPr>
          <w:rFonts w:hint="eastAsia"/>
        </w:rPr>
        <w:t>：将底布在涂刮台用涂刮刀将涂层胶（水性聚丙烯酸酯涂层胶或水性阻燃涂层胶或水性防水涂层胶）以一定的厚度均匀的涂覆在基布上。根据客户需要，部分产品需要防水防油的功能，该部分底布经过进布架后穿过浆槽中的助剂溶液后通过轧车轧去多余的助剂溶液，保证烘干效率，使织物带液均匀，轧车轧出的溶液倒入浆槽中继续使用；</w:t>
      </w:r>
    </w:p>
    <w:p>
      <w:pPr>
        <w:ind w:firstLine="480"/>
      </w:pPr>
      <w:r>
        <w:rPr>
          <w:rFonts w:hint="eastAsia"/>
        </w:rPr>
        <w:t>涂覆三防助剂后进入涂胶工序或直接烘干即为成品，含整理剂溶液（整理剂和水按照1:20的比例）全部被底布带走，因此只需定期添加整理剂、防污助剂和水，不排放。调浆工序在密闭车间内进行。</w:t>
      </w:r>
    </w:p>
    <w:p>
      <w:pPr>
        <w:ind w:firstLine="482"/>
      </w:pPr>
      <w:r>
        <w:rPr>
          <w:b/>
          <w:bCs/>
        </w:rPr>
        <w:t>烘干</w:t>
      </w:r>
      <w:r>
        <w:rPr>
          <w:rFonts w:hint="eastAsia"/>
          <w:b/>
          <w:bCs/>
        </w:rPr>
        <w:t>：</w:t>
      </w:r>
      <w:r>
        <w:rPr>
          <w:rFonts w:hint="eastAsia"/>
        </w:rPr>
        <w:t>进入烘道以一定的温度、风量将浆料里的水或溶剂完全挥发，烘干温度130~150℃。公司2台涂层设备，采用天然气直燃式加热。</w:t>
      </w:r>
    </w:p>
    <w:p>
      <w:pPr>
        <w:ind w:firstLine="482"/>
      </w:pPr>
      <w:r>
        <w:rPr>
          <w:b/>
        </w:rPr>
        <w:t>复合</w:t>
      </w:r>
      <w:r>
        <w:rPr>
          <w:rFonts w:hint="eastAsia"/>
          <w:b/>
        </w:rPr>
        <w:t>：</w:t>
      </w:r>
      <w:r>
        <w:rPr>
          <w:rFonts w:hint="eastAsia"/>
        </w:rPr>
        <w:t>将水性复合胶水加入复合机设备的滚筒内（滚筒上布满细孔，胶水可从细孔流出），由浆辊转动带动底布向前传动，胶水从细孔流出，均匀地涂在底布上，通过复合机与另一层底布进行贴合。贴合后经过到热辊加热加压，热辊采用电加热，加热温度控制在160℃左右。</w:t>
      </w:r>
    </w:p>
    <w:p>
      <w:pPr>
        <w:ind w:firstLine="482"/>
      </w:pPr>
      <w:r>
        <w:rPr>
          <w:rFonts w:hint="eastAsia"/>
          <w:b/>
          <w:bCs/>
        </w:rPr>
        <w:t>检验</w:t>
      </w:r>
      <w:r>
        <w:rPr>
          <w:rFonts w:hint="eastAsia"/>
        </w:rPr>
        <w:t>：检验合格后的成品打卷出厂外售。</w:t>
      </w:r>
    </w:p>
    <w:p>
      <w:pPr>
        <w:pStyle w:val="6"/>
      </w:pPr>
      <w:r>
        <w:rPr>
          <w:rFonts w:hint="eastAsia"/>
        </w:rPr>
        <w:t>3</w:t>
      </w:r>
      <w:r>
        <w:t>.5.2</w:t>
      </w:r>
      <w:r>
        <w:rPr>
          <w:rFonts w:hint="eastAsia"/>
        </w:rPr>
        <w:t>主要污染工序</w:t>
      </w:r>
      <w:bookmarkEnd w:id="29"/>
      <w:bookmarkEnd w:id="30"/>
    </w:p>
    <w:p>
      <w:pPr>
        <w:ind w:firstLine="480"/>
      </w:pPr>
      <w:r>
        <w:rPr>
          <w:rFonts w:hint="eastAsia"/>
        </w:rPr>
        <w:t>本项目已实施部分主要污染工序及污染因子见下表。</w:t>
      </w:r>
    </w:p>
    <w:p>
      <w:pPr>
        <w:pStyle w:val="39"/>
        <w:spacing w:before="62" w:after="31"/>
        <w:rPr>
          <w:color w:val="auto"/>
        </w:rPr>
      </w:pPr>
      <w:r>
        <w:rPr>
          <w:rFonts w:hint="eastAsia"/>
          <w:color w:val="auto"/>
        </w:rPr>
        <w:t>表</w:t>
      </w:r>
      <w:r>
        <w:rPr>
          <w:color w:val="auto"/>
        </w:rPr>
        <w:t xml:space="preserve">3-3  </w:t>
      </w:r>
      <w:r>
        <w:rPr>
          <w:rFonts w:hint="eastAsia"/>
          <w:color w:val="auto"/>
        </w:rPr>
        <w:t>主要污染工序</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9"/>
        <w:gridCol w:w="2314"/>
        <w:gridCol w:w="1868"/>
        <w:gridCol w:w="2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Align w:val="center"/>
          </w:tcPr>
          <w:p>
            <w:pPr>
              <w:spacing w:line="240" w:lineRule="auto"/>
              <w:ind w:firstLine="0" w:firstLineChars="0"/>
              <w:jc w:val="center"/>
              <w:textAlignment w:val="center"/>
              <w:rPr>
                <w:rFonts w:eastAsia="宋体" w:cs="Times New Roman"/>
                <w:b/>
                <w:sz w:val="21"/>
                <w:szCs w:val="20"/>
              </w:rPr>
            </w:pPr>
            <w:r>
              <w:rPr>
                <w:rFonts w:hint="eastAsia" w:eastAsia="宋体" w:cs="Times New Roman"/>
                <w:b/>
                <w:sz w:val="21"/>
                <w:szCs w:val="20"/>
              </w:rPr>
              <w:t>项目</w:t>
            </w:r>
          </w:p>
        </w:tc>
        <w:tc>
          <w:tcPr>
            <w:tcW w:w="1327" w:type="pct"/>
            <w:vAlign w:val="center"/>
          </w:tcPr>
          <w:p>
            <w:pPr>
              <w:spacing w:line="240" w:lineRule="auto"/>
              <w:ind w:firstLine="0" w:firstLineChars="0"/>
              <w:jc w:val="center"/>
              <w:textAlignment w:val="center"/>
              <w:rPr>
                <w:rFonts w:eastAsia="宋体" w:cs="Times New Roman"/>
                <w:b/>
                <w:sz w:val="21"/>
                <w:szCs w:val="20"/>
              </w:rPr>
            </w:pPr>
            <w:r>
              <w:rPr>
                <w:rFonts w:hint="eastAsia" w:eastAsia="宋体" w:cs="Times New Roman"/>
                <w:b/>
                <w:sz w:val="21"/>
                <w:szCs w:val="20"/>
              </w:rPr>
              <w:t>污染物类型</w:t>
            </w:r>
          </w:p>
        </w:tc>
        <w:tc>
          <w:tcPr>
            <w:tcW w:w="1071" w:type="pct"/>
            <w:vAlign w:val="center"/>
          </w:tcPr>
          <w:p>
            <w:pPr>
              <w:spacing w:line="240" w:lineRule="auto"/>
              <w:ind w:firstLine="0" w:firstLineChars="0"/>
              <w:jc w:val="center"/>
              <w:textAlignment w:val="center"/>
              <w:rPr>
                <w:rFonts w:eastAsia="宋体" w:cs="Times New Roman"/>
                <w:b/>
                <w:sz w:val="21"/>
                <w:szCs w:val="20"/>
              </w:rPr>
            </w:pPr>
            <w:r>
              <w:rPr>
                <w:rFonts w:hint="eastAsia" w:eastAsia="宋体" w:cs="Times New Roman"/>
                <w:b/>
                <w:sz w:val="21"/>
                <w:szCs w:val="20"/>
              </w:rPr>
              <w:t>污染工序</w:t>
            </w:r>
          </w:p>
        </w:tc>
        <w:tc>
          <w:tcPr>
            <w:tcW w:w="1582" w:type="pct"/>
            <w:vAlign w:val="center"/>
          </w:tcPr>
          <w:p>
            <w:pPr>
              <w:spacing w:line="240" w:lineRule="auto"/>
              <w:ind w:firstLine="0" w:firstLineChars="0"/>
              <w:jc w:val="center"/>
              <w:textAlignment w:val="center"/>
              <w:rPr>
                <w:rFonts w:eastAsia="宋体" w:cs="Times New Roman"/>
                <w:b/>
                <w:sz w:val="21"/>
                <w:szCs w:val="20"/>
              </w:rPr>
            </w:pPr>
            <w:r>
              <w:rPr>
                <w:rFonts w:hint="eastAsia" w:eastAsia="宋体" w:cs="Times New Roman"/>
                <w:b/>
                <w:sz w:val="21"/>
                <w:szCs w:val="20"/>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restar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废水</w:t>
            </w: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生活污水</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职工生活</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COD</w:t>
            </w:r>
            <w:r>
              <w:rPr>
                <w:rFonts w:hint="eastAsia" w:eastAsia="宋体" w:cs="Times New Roman"/>
                <w:sz w:val="21"/>
                <w:szCs w:val="20"/>
                <w:vertAlign w:val="subscript"/>
              </w:rPr>
              <w:t>Cr</w:t>
            </w:r>
            <w:r>
              <w:rPr>
                <w:rFonts w:hint="eastAsia" w:eastAsia="宋体" w:cs="Times New Roman"/>
                <w:sz w:val="21"/>
                <w:szCs w:val="20"/>
              </w:rPr>
              <w:t>、NH</w:t>
            </w:r>
            <w:r>
              <w:rPr>
                <w:rFonts w:hint="eastAsia" w:eastAsia="宋体" w:cs="Times New Roman"/>
                <w:sz w:val="21"/>
                <w:szCs w:val="20"/>
                <w:vertAlign w:val="subscript"/>
              </w:rPr>
              <w:t>3</w:t>
            </w:r>
            <w:r>
              <w:rPr>
                <w:rFonts w:hint="eastAsia" w:eastAsia="宋体" w:cs="Times New Roman"/>
                <w:sz w:val="21"/>
                <w:szCs w:val="20"/>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喷淋废水</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废气水喷淋</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COD</w:t>
            </w:r>
            <w:r>
              <w:rPr>
                <w:rFonts w:hint="eastAsia" w:eastAsia="宋体" w:cs="Times New Roman"/>
                <w:sz w:val="21"/>
                <w:szCs w:val="20"/>
                <w:vertAlign w:val="subscript"/>
              </w:rPr>
              <w:t>Cr</w:t>
            </w:r>
            <w:r>
              <w:rPr>
                <w:rFonts w:hint="eastAsia" w:eastAsia="宋体" w:cs="Times New Roman"/>
                <w:sz w:val="21"/>
                <w:szCs w:val="20"/>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调浆容器清洗废水</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调浆容器清洗</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COD</w:t>
            </w:r>
            <w:r>
              <w:rPr>
                <w:rFonts w:hint="eastAsia" w:eastAsia="宋体" w:cs="Times New Roman"/>
                <w:sz w:val="21"/>
                <w:szCs w:val="20"/>
                <w:vertAlign w:val="subscript"/>
              </w:rPr>
              <w:t>Cr</w:t>
            </w:r>
            <w:r>
              <w:rPr>
                <w:rFonts w:hint="eastAsia" w:eastAsia="宋体" w:cs="Times New Roman"/>
                <w:sz w:val="21"/>
                <w:szCs w:val="20"/>
              </w:rPr>
              <w:t>、NH</w:t>
            </w:r>
            <w:r>
              <w:rPr>
                <w:rFonts w:hint="eastAsia" w:eastAsia="宋体" w:cs="Times New Roman"/>
                <w:sz w:val="21"/>
                <w:szCs w:val="20"/>
                <w:vertAlign w:val="subscript"/>
              </w:rPr>
              <w:t>3</w:t>
            </w:r>
            <w:r>
              <w:rPr>
                <w:rFonts w:hint="eastAsia" w:eastAsia="宋体" w:cs="Times New Roman"/>
                <w:sz w:val="21"/>
                <w:szCs w:val="20"/>
              </w:rPr>
              <w:t>-N、S</w:t>
            </w:r>
            <w:r>
              <w:rPr>
                <w:rFonts w:eastAsia="宋体" w:cs="Times New Roman"/>
                <w:sz w:val="21"/>
                <w:szCs w:val="20"/>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restar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废气</w:t>
            </w: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复合废气</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复合</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涂层废气</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涂层</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调浆废气</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调浆</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燃气废气</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天然气燃烧</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SO</w:t>
            </w:r>
            <w:r>
              <w:rPr>
                <w:rFonts w:eastAsia="宋体" w:cs="Times New Roman"/>
                <w:sz w:val="21"/>
                <w:szCs w:val="20"/>
                <w:vertAlign w:val="subscript"/>
              </w:rPr>
              <w:t>2</w:t>
            </w:r>
            <w:r>
              <w:rPr>
                <w:rFonts w:hint="eastAsia" w:eastAsia="宋体" w:cs="Times New Roman"/>
                <w:sz w:val="21"/>
                <w:szCs w:val="20"/>
              </w:rPr>
              <w:t>、N</w:t>
            </w:r>
            <w:r>
              <w:rPr>
                <w:rFonts w:eastAsia="宋体" w:cs="Times New Roman"/>
                <w:sz w:val="21"/>
                <w:szCs w:val="20"/>
              </w:rPr>
              <w:t>Ox</w:t>
            </w:r>
            <w:r>
              <w:rPr>
                <w:rFonts w:hint="eastAsia" w:eastAsia="宋体" w:cs="Times New Roman"/>
                <w:sz w:val="21"/>
                <w:szCs w:val="20"/>
              </w:rPr>
              <w:t>、烟尘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恶臭</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污水</w:t>
            </w:r>
            <w:r>
              <w:rPr>
                <w:rFonts w:hint="eastAsia" w:eastAsia="宋体" w:cs="Times New Roman"/>
                <w:sz w:val="21"/>
                <w:szCs w:val="20"/>
              </w:rPr>
              <w:t>处理</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恶臭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restar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固废</w:t>
            </w:r>
          </w:p>
        </w:tc>
        <w:tc>
          <w:tcPr>
            <w:tcW w:w="1327"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废布料</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检验</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废布料纤维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破损废包装桶</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原材料使用</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塑料</w:t>
            </w:r>
            <w:r>
              <w:rPr>
                <w:rFonts w:hint="eastAsia" w:eastAsia="宋体" w:cs="Times New Roman"/>
                <w:sz w:val="21"/>
                <w:szCs w:val="20"/>
              </w:rPr>
              <w:t>、</w:t>
            </w:r>
            <w:r>
              <w:rPr>
                <w:rFonts w:eastAsia="宋体" w:cs="Times New Roman"/>
                <w:sz w:val="21"/>
                <w:szCs w:val="20"/>
              </w:rPr>
              <w:t>胶水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废活性炭</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废气处理</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活性炭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废胶渣</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生产过程</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胶渣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废胶水</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生产过程</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胶水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废抹布</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生产过程</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胶水、纤维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污泥</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污水处理</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油泥</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污水</w:t>
            </w:r>
            <w:r>
              <w:rPr>
                <w:rFonts w:eastAsia="宋体" w:cs="Times New Roman"/>
                <w:sz w:val="21"/>
                <w:szCs w:val="20"/>
              </w:rPr>
              <w:t>处理</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机械油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020" w:type="pct"/>
            <w:vMerge w:val="continue"/>
            <w:vAlign w:val="center"/>
          </w:tcPr>
          <w:p>
            <w:pPr>
              <w:spacing w:line="240" w:lineRule="auto"/>
              <w:ind w:firstLine="0" w:firstLineChars="0"/>
              <w:jc w:val="center"/>
              <w:textAlignment w:val="center"/>
              <w:rPr>
                <w:rFonts w:eastAsia="宋体" w:cs="Times New Roman"/>
                <w:sz w:val="21"/>
                <w:szCs w:val="20"/>
              </w:rPr>
            </w:pP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生活垃圾</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职工生活</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0"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噪声</w:t>
            </w:r>
          </w:p>
        </w:tc>
        <w:tc>
          <w:tcPr>
            <w:tcW w:w="1327"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机械噪声</w:t>
            </w:r>
          </w:p>
        </w:tc>
        <w:tc>
          <w:tcPr>
            <w:tcW w:w="1071" w:type="pct"/>
            <w:vAlign w:val="center"/>
          </w:tcPr>
          <w:p>
            <w:pPr>
              <w:spacing w:line="240" w:lineRule="auto"/>
              <w:ind w:firstLine="0" w:firstLineChars="0"/>
              <w:jc w:val="center"/>
              <w:textAlignment w:val="center"/>
              <w:rPr>
                <w:rFonts w:eastAsia="宋体" w:cs="Times New Roman"/>
                <w:sz w:val="21"/>
                <w:szCs w:val="20"/>
              </w:rPr>
            </w:pPr>
            <w:r>
              <w:rPr>
                <w:rFonts w:hint="eastAsia" w:eastAsia="宋体" w:cs="Times New Roman"/>
                <w:sz w:val="21"/>
                <w:szCs w:val="20"/>
              </w:rPr>
              <w:t>生产设备</w:t>
            </w:r>
          </w:p>
        </w:tc>
        <w:tc>
          <w:tcPr>
            <w:tcW w:w="1582" w:type="pct"/>
            <w:vAlign w:val="center"/>
          </w:tcPr>
          <w:p>
            <w:pPr>
              <w:spacing w:line="240" w:lineRule="auto"/>
              <w:ind w:firstLine="0" w:firstLineChars="0"/>
              <w:jc w:val="center"/>
              <w:textAlignment w:val="center"/>
              <w:rPr>
                <w:rFonts w:eastAsia="宋体" w:cs="Times New Roman"/>
                <w:sz w:val="21"/>
                <w:szCs w:val="20"/>
              </w:rPr>
            </w:pPr>
            <w:r>
              <w:rPr>
                <w:rFonts w:eastAsia="宋体" w:cs="Times New Roman"/>
                <w:sz w:val="21"/>
                <w:szCs w:val="20"/>
              </w:rPr>
              <w:t>Leq</w:t>
            </w:r>
            <w:r>
              <w:rPr>
                <w:rFonts w:hint="eastAsia" w:eastAsia="宋体" w:cs="Times New Roman"/>
                <w:sz w:val="21"/>
                <w:szCs w:val="20"/>
              </w:rPr>
              <w:t>（</w:t>
            </w:r>
            <w:r>
              <w:rPr>
                <w:rFonts w:eastAsia="宋体" w:cs="Times New Roman"/>
                <w:sz w:val="21"/>
                <w:szCs w:val="20"/>
              </w:rPr>
              <w:t>A</w:t>
            </w:r>
            <w:r>
              <w:rPr>
                <w:rFonts w:hint="eastAsia" w:eastAsia="宋体" w:cs="Times New Roman"/>
                <w:sz w:val="21"/>
                <w:szCs w:val="20"/>
              </w:rPr>
              <w:t>）</w:t>
            </w:r>
          </w:p>
        </w:tc>
      </w:tr>
    </w:tbl>
    <w:p>
      <w:pPr>
        <w:pStyle w:val="5"/>
        <w:rPr>
          <w:rFonts w:cs="Times New Roman" w:eastAsiaTheme="minorEastAsia"/>
          <w:szCs w:val="24"/>
        </w:rPr>
      </w:pPr>
      <w:bookmarkStart w:id="32" w:name="_Toc81808496"/>
      <w:r>
        <w:rPr>
          <w:rFonts w:cs="Times New Roman"/>
          <w:szCs w:val="24"/>
        </w:rPr>
        <w:t>3.6项目变动情况</w:t>
      </w:r>
      <w:bookmarkEnd w:id="31"/>
      <w:bookmarkEnd w:id="32"/>
    </w:p>
    <w:p>
      <w:pPr>
        <w:ind w:firstLine="480"/>
        <w:jc w:val="left"/>
        <w:rPr>
          <w:rFonts w:cs="Times New Roman"/>
        </w:rPr>
      </w:pPr>
      <w:r>
        <w:rPr>
          <w:rFonts w:hint="eastAsia" w:cs="Times New Roman"/>
        </w:rPr>
        <w:t>本项目在实施过程中公司对涂层废气污染防治措施加以提升改造。在原有处理工艺中增加高压静电净化装置，提高废气经净化效果。目前企业涂层废气收集后经“二级水喷淋+除湿装置+高压静电+光催化氧化（除臭）”处理工艺处理后通过3</w:t>
      </w:r>
      <w:r>
        <w:rPr>
          <w:rFonts w:cs="Times New Roman"/>
        </w:rPr>
        <w:t>0m高</w:t>
      </w:r>
      <w:r>
        <w:rPr>
          <w:rFonts w:hint="eastAsia" w:cs="Times New Roman"/>
        </w:rPr>
        <w:t>排气筒高空排放。根据《建设项目竣工环境保护验收技术规范纺织染整》（H</w:t>
      </w:r>
      <w:r>
        <w:rPr>
          <w:rFonts w:cs="Times New Roman"/>
        </w:rPr>
        <w:t>J709-2014</w:t>
      </w:r>
      <w:r>
        <w:rPr>
          <w:rFonts w:hint="eastAsia" w:cs="Times New Roman"/>
        </w:rPr>
        <w:t>）相关内容，废气污染防治措强化或改进，不属于重大变动。</w:t>
      </w:r>
    </w:p>
    <w:p>
      <w:pPr>
        <w:ind w:firstLine="480"/>
        <w:jc w:val="left"/>
      </w:pPr>
      <w:r>
        <w:rPr>
          <w:rFonts w:hint="eastAsia" w:cs="Times New Roman"/>
        </w:rPr>
        <w:t>经自查，桐乡市诺派纺织科技有限公司年产500万米功能性装饰面料建设项目在实施过程中，</w:t>
      </w:r>
      <w:r>
        <w:rPr>
          <w:rFonts w:hint="eastAsia"/>
        </w:rPr>
        <w:t>本项目的性质、规模、地点、生产工艺和环境保护措施五个方面均未构成重大变动。</w:t>
      </w:r>
    </w:p>
    <w:p>
      <w:pPr>
        <w:pStyle w:val="4"/>
        <w:sectPr>
          <w:pgSz w:w="11906" w:h="16838"/>
          <w:pgMar w:top="1418" w:right="1701" w:bottom="1418" w:left="1701" w:header="851" w:footer="992" w:gutter="0"/>
          <w:pgNumType w:fmt="numberInDash"/>
          <w:cols w:space="425" w:num="1"/>
          <w:titlePg/>
          <w:docGrid w:type="lines" w:linePitch="312" w:charSpace="0"/>
        </w:sectPr>
      </w:pPr>
      <w:bookmarkStart w:id="33" w:name="_Toc515273911"/>
    </w:p>
    <w:p>
      <w:pPr>
        <w:pStyle w:val="4"/>
      </w:pPr>
      <w:bookmarkStart w:id="34" w:name="_Toc81808497"/>
      <w:r>
        <w:rPr>
          <w:rFonts w:hint="eastAsia"/>
        </w:rPr>
        <w:t>4</w:t>
      </w:r>
      <w:r>
        <w:t>环境保护设施</w:t>
      </w:r>
      <w:bookmarkEnd w:id="33"/>
      <w:bookmarkEnd w:id="34"/>
    </w:p>
    <w:p>
      <w:pPr>
        <w:pStyle w:val="5"/>
      </w:pPr>
      <w:bookmarkStart w:id="35" w:name="_Toc81808498"/>
      <w:bookmarkStart w:id="36" w:name="_Toc515273912"/>
      <w:r>
        <w:t>4.1污染物治理设施</w:t>
      </w:r>
      <w:bookmarkEnd w:id="35"/>
      <w:bookmarkEnd w:id="36"/>
    </w:p>
    <w:p>
      <w:pPr>
        <w:pStyle w:val="6"/>
      </w:pPr>
      <w:bookmarkStart w:id="37" w:name="_Toc81808499"/>
      <w:bookmarkStart w:id="38" w:name="_Toc61958996"/>
      <w:bookmarkStart w:id="39" w:name="_Toc81808387"/>
      <w:r>
        <w:t>4.1.1废水</w:t>
      </w:r>
      <w:bookmarkEnd w:id="37"/>
      <w:bookmarkEnd w:id="38"/>
      <w:bookmarkEnd w:id="39"/>
    </w:p>
    <w:p>
      <w:pPr>
        <w:ind w:firstLine="480"/>
      </w:pPr>
      <w:r>
        <w:rPr>
          <w:rFonts w:hint="eastAsia"/>
        </w:rPr>
        <w:t>本项目生产过程中用水仅为废气处理水喷淋装置用水、调浆容器清洗用水及员工生活用水。喷淋水循环使用定期更换，更换产生的喷淋废水、调浆容器清洗废水经厂区污水站处理后与经化粪池预处理后的员工生活污水一并纳入园区污水管网。</w:t>
      </w:r>
    </w:p>
    <w:p>
      <w:pPr>
        <w:ind w:firstLine="480"/>
      </w:pPr>
      <w:r>
        <w:rPr>
          <w:rFonts w:hint="eastAsia"/>
        </w:rPr>
        <w:t>公司内实行清污分流、雨污分流。生产废水经厂区污水处理站处理后与生活污水一并达到《纺织染整工业水污染物排放标准》（GB4287-2012）及其修改单（环保部公告2015年第19号），以及《关于&lt;纺织染整工业水污染物排放标准&gt;（GB4287-2012）部分指标执行要求的公告》（环保部公告2015年第41号）中相应的排放限值后，纳入园区污水管网，废水最终经桐乡市城市污水处理有限责任公司集中处理达到《城镇污水处理厂污染物排放标准》（GB18918-2002）表1中一级A标准（即COD</w:t>
      </w:r>
      <w:r>
        <w:rPr>
          <w:rFonts w:hint="eastAsia"/>
          <w:vertAlign w:val="subscript"/>
        </w:rPr>
        <w:t>Cr</w:t>
      </w:r>
      <w:r>
        <w:rPr>
          <w:rFonts w:hint="eastAsia"/>
        </w:rPr>
        <w:t>≤50mg/L、NH</w:t>
      </w:r>
      <w:r>
        <w:rPr>
          <w:rFonts w:hint="eastAsia"/>
          <w:vertAlign w:val="subscript"/>
        </w:rPr>
        <w:t>3</w:t>
      </w:r>
      <w:r>
        <w:rPr>
          <w:rFonts w:hint="eastAsia"/>
        </w:rPr>
        <w:t>-N≤5mg/L）后排放钱塘江</w:t>
      </w:r>
      <w:r>
        <w:rPr>
          <w:rFonts w:hint="eastAsia" w:eastAsia="宋体" w:cs="Times New Roman"/>
          <w:szCs w:val="20"/>
        </w:rPr>
        <w:t>。</w:t>
      </w:r>
    </w:p>
    <w:p>
      <w:pPr>
        <w:ind w:firstLine="480"/>
      </w:pPr>
      <w:r>
        <w:rPr>
          <w:rFonts w:hint="eastAsia"/>
        </w:rPr>
        <w:t>废水处理工艺流程如下：</w:t>
      </w:r>
    </w:p>
    <w:p>
      <w:pPr>
        <w:pStyle w:val="43"/>
        <w:rPr>
          <w:color w:val="auto"/>
        </w:rPr>
      </w:pPr>
      <w:r>
        <w:rPr>
          <w:color w:val="auto"/>
        </w:rPr>
        <w:drawing>
          <wp:inline distT="0" distB="0" distL="0" distR="0">
            <wp:extent cx="5400040" cy="11144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2"/>
                    <a:stretch>
                      <a:fillRect/>
                    </a:stretch>
                  </pic:blipFill>
                  <pic:spPr>
                    <a:xfrm>
                      <a:off x="0" y="0"/>
                      <a:ext cx="5400040" cy="1114425"/>
                    </a:xfrm>
                    <a:prstGeom prst="rect">
                      <a:avLst/>
                    </a:prstGeom>
                  </pic:spPr>
                </pic:pic>
              </a:graphicData>
            </a:graphic>
          </wp:inline>
        </w:drawing>
      </w:r>
    </w:p>
    <w:p>
      <w:pPr>
        <w:pStyle w:val="35"/>
        <w:spacing w:before="0" w:beforeLines="0" w:after="0" w:afterLines="0"/>
      </w:pPr>
      <w:r>
        <w:rPr>
          <w:rFonts w:hint="eastAsia"/>
        </w:rPr>
        <w:t>图4</w:t>
      </w:r>
      <w:r>
        <w:t xml:space="preserve">-1  </w:t>
      </w:r>
      <w:r>
        <w:rPr>
          <w:rFonts w:hint="eastAsia"/>
        </w:rPr>
        <w:t>废水处理工艺流程图</w:t>
      </w:r>
    </w:p>
    <w:p>
      <w:pPr>
        <w:ind w:firstLine="480"/>
      </w:pPr>
      <w:r>
        <w:t>废水治理情况汇总见表4-1。</w:t>
      </w:r>
    </w:p>
    <w:p>
      <w:pPr>
        <w:pStyle w:val="39"/>
        <w:spacing w:before="62" w:after="31"/>
        <w:rPr>
          <w:color w:val="auto"/>
        </w:rPr>
      </w:pPr>
      <w:r>
        <w:rPr>
          <w:color w:val="auto"/>
        </w:rPr>
        <w:t>表4-1  废水治理情况汇总表</w:t>
      </w:r>
    </w:p>
    <w:tbl>
      <w:tblPr>
        <w:tblStyle w:val="22"/>
        <w:tblW w:w="84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922"/>
        <w:gridCol w:w="1276"/>
        <w:gridCol w:w="851"/>
        <w:gridCol w:w="992"/>
        <w:gridCol w:w="2551"/>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74" w:type="dxa"/>
            <w:vAlign w:val="center"/>
          </w:tcPr>
          <w:p>
            <w:pPr>
              <w:pStyle w:val="44"/>
              <w:rPr>
                <w:b/>
                <w:bCs w:val="0"/>
                <w:color w:val="auto"/>
              </w:rPr>
            </w:pPr>
            <w:r>
              <w:rPr>
                <w:b/>
                <w:bCs w:val="0"/>
                <w:color w:val="auto"/>
              </w:rPr>
              <w:t>废水类别</w:t>
            </w:r>
          </w:p>
        </w:tc>
        <w:tc>
          <w:tcPr>
            <w:tcW w:w="922" w:type="dxa"/>
            <w:vAlign w:val="center"/>
          </w:tcPr>
          <w:p>
            <w:pPr>
              <w:pStyle w:val="44"/>
              <w:rPr>
                <w:b/>
                <w:bCs w:val="0"/>
                <w:color w:val="auto"/>
              </w:rPr>
            </w:pPr>
            <w:r>
              <w:rPr>
                <w:b/>
                <w:bCs w:val="0"/>
                <w:color w:val="auto"/>
              </w:rPr>
              <w:t>废水</w:t>
            </w:r>
          </w:p>
          <w:p>
            <w:pPr>
              <w:pStyle w:val="44"/>
              <w:rPr>
                <w:b/>
                <w:bCs w:val="0"/>
                <w:color w:val="auto"/>
              </w:rPr>
            </w:pPr>
            <w:r>
              <w:rPr>
                <w:b/>
                <w:bCs w:val="0"/>
                <w:color w:val="auto"/>
              </w:rPr>
              <w:t>来源</w:t>
            </w:r>
          </w:p>
        </w:tc>
        <w:tc>
          <w:tcPr>
            <w:tcW w:w="1276" w:type="dxa"/>
            <w:vAlign w:val="center"/>
          </w:tcPr>
          <w:p>
            <w:pPr>
              <w:pStyle w:val="44"/>
              <w:rPr>
                <w:b/>
                <w:bCs w:val="0"/>
                <w:color w:val="auto"/>
              </w:rPr>
            </w:pPr>
            <w:r>
              <w:rPr>
                <w:b/>
                <w:bCs w:val="0"/>
                <w:color w:val="auto"/>
              </w:rPr>
              <w:t>污染物</w:t>
            </w:r>
          </w:p>
          <w:p>
            <w:pPr>
              <w:pStyle w:val="44"/>
              <w:rPr>
                <w:b/>
                <w:bCs w:val="0"/>
                <w:color w:val="auto"/>
              </w:rPr>
            </w:pPr>
            <w:r>
              <w:rPr>
                <w:b/>
                <w:bCs w:val="0"/>
                <w:color w:val="auto"/>
              </w:rPr>
              <w:t>种类</w:t>
            </w:r>
          </w:p>
        </w:tc>
        <w:tc>
          <w:tcPr>
            <w:tcW w:w="851" w:type="dxa"/>
            <w:vAlign w:val="center"/>
          </w:tcPr>
          <w:p>
            <w:pPr>
              <w:pStyle w:val="44"/>
              <w:rPr>
                <w:b/>
                <w:bCs w:val="0"/>
                <w:color w:val="auto"/>
              </w:rPr>
            </w:pPr>
            <w:r>
              <w:rPr>
                <w:b/>
                <w:bCs w:val="0"/>
                <w:color w:val="auto"/>
              </w:rPr>
              <w:t>排放</w:t>
            </w:r>
          </w:p>
          <w:p>
            <w:pPr>
              <w:pStyle w:val="44"/>
              <w:rPr>
                <w:b/>
                <w:bCs w:val="0"/>
                <w:color w:val="auto"/>
              </w:rPr>
            </w:pPr>
            <w:r>
              <w:rPr>
                <w:b/>
                <w:bCs w:val="0"/>
                <w:color w:val="auto"/>
              </w:rPr>
              <w:t>规律</w:t>
            </w:r>
          </w:p>
        </w:tc>
        <w:tc>
          <w:tcPr>
            <w:tcW w:w="992" w:type="dxa"/>
            <w:vAlign w:val="center"/>
          </w:tcPr>
          <w:p>
            <w:pPr>
              <w:pStyle w:val="44"/>
              <w:rPr>
                <w:b/>
                <w:bCs w:val="0"/>
                <w:color w:val="auto"/>
              </w:rPr>
            </w:pPr>
            <w:r>
              <w:rPr>
                <w:b/>
                <w:bCs w:val="0"/>
                <w:color w:val="auto"/>
              </w:rPr>
              <w:t>治理</w:t>
            </w:r>
          </w:p>
          <w:p>
            <w:pPr>
              <w:pStyle w:val="44"/>
              <w:rPr>
                <w:b/>
                <w:bCs w:val="0"/>
                <w:color w:val="auto"/>
              </w:rPr>
            </w:pPr>
            <w:r>
              <w:rPr>
                <w:b/>
                <w:bCs w:val="0"/>
                <w:color w:val="auto"/>
              </w:rPr>
              <w:t>设施</w:t>
            </w:r>
          </w:p>
        </w:tc>
        <w:tc>
          <w:tcPr>
            <w:tcW w:w="2551" w:type="dxa"/>
            <w:vAlign w:val="center"/>
          </w:tcPr>
          <w:p>
            <w:pPr>
              <w:pStyle w:val="44"/>
              <w:rPr>
                <w:b/>
                <w:bCs w:val="0"/>
                <w:color w:val="auto"/>
              </w:rPr>
            </w:pPr>
            <w:r>
              <w:rPr>
                <w:b/>
                <w:bCs w:val="0"/>
                <w:color w:val="auto"/>
              </w:rPr>
              <w:t>设计指标</w:t>
            </w:r>
          </w:p>
        </w:tc>
        <w:tc>
          <w:tcPr>
            <w:tcW w:w="1128" w:type="dxa"/>
            <w:vAlign w:val="center"/>
          </w:tcPr>
          <w:p>
            <w:pPr>
              <w:pStyle w:val="44"/>
              <w:rPr>
                <w:b/>
                <w:bCs w:val="0"/>
                <w:color w:val="auto"/>
              </w:rPr>
            </w:pPr>
            <w:r>
              <w:rPr>
                <w:rFonts w:hint="eastAsia"/>
                <w:b/>
                <w:bCs w:val="0"/>
                <w:color w:val="auto"/>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74" w:type="dxa"/>
            <w:vAlign w:val="center"/>
          </w:tcPr>
          <w:p>
            <w:pPr>
              <w:pStyle w:val="39"/>
              <w:spacing w:before="62" w:after="31"/>
              <w:rPr>
                <w:b w:val="0"/>
                <w:bCs w:val="0"/>
                <w:color w:val="auto"/>
              </w:rPr>
            </w:pPr>
            <w:r>
              <w:rPr>
                <w:rFonts w:hint="eastAsia"/>
                <w:b w:val="0"/>
                <w:bCs w:val="0"/>
                <w:color w:val="auto"/>
              </w:rPr>
              <w:t>生产废水</w:t>
            </w:r>
          </w:p>
        </w:tc>
        <w:tc>
          <w:tcPr>
            <w:tcW w:w="922" w:type="dxa"/>
            <w:vAlign w:val="center"/>
          </w:tcPr>
          <w:p>
            <w:pPr>
              <w:pStyle w:val="39"/>
              <w:spacing w:before="62" w:after="31"/>
              <w:rPr>
                <w:b w:val="0"/>
                <w:bCs w:val="0"/>
                <w:color w:val="auto"/>
              </w:rPr>
            </w:pPr>
            <w:r>
              <w:rPr>
                <w:b w:val="0"/>
                <w:bCs w:val="0"/>
                <w:color w:val="auto"/>
              </w:rPr>
              <w:t>废气处理水喷淋</w:t>
            </w:r>
            <w:r>
              <w:rPr>
                <w:rFonts w:hint="eastAsia"/>
                <w:b w:val="0"/>
                <w:bCs w:val="0"/>
                <w:color w:val="auto"/>
              </w:rPr>
              <w:t>、</w:t>
            </w:r>
            <w:r>
              <w:rPr>
                <w:b w:val="0"/>
                <w:bCs w:val="0"/>
                <w:color w:val="auto"/>
              </w:rPr>
              <w:t>调浆容器清洗</w:t>
            </w:r>
          </w:p>
        </w:tc>
        <w:tc>
          <w:tcPr>
            <w:tcW w:w="1276" w:type="dxa"/>
            <w:vAlign w:val="center"/>
          </w:tcPr>
          <w:p>
            <w:pPr>
              <w:pStyle w:val="43"/>
              <w:jc w:val="left"/>
              <w:rPr>
                <w:color w:val="auto"/>
              </w:rPr>
            </w:pPr>
            <w:r>
              <w:rPr>
                <w:color w:val="auto"/>
              </w:rPr>
              <w:t>COD</w:t>
            </w:r>
            <w:r>
              <w:rPr>
                <w:rFonts w:hint="eastAsia"/>
                <w:color w:val="auto"/>
                <w:vertAlign w:val="subscript"/>
              </w:rPr>
              <w:t>C</w:t>
            </w:r>
            <w:r>
              <w:rPr>
                <w:color w:val="auto"/>
                <w:vertAlign w:val="subscript"/>
              </w:rPr>
              <w:t>r</w:t>
            </w:r>
            <w:r>
              <w:rPr>
                <w:color w:val="auto"/>
              </w:rPr>
              <w:t>、</w:t>
            </w:r>
          </w:p>
          <w:p>
            <w:pPr>
              <w:pStyle w:val="43"/>
              <w:jc w:val="left"/>
              <w:rPr>
                <w:color w:val="auto"/>
              </w:rPr>
            </w:pPr>
            <w:r>
              <w:rPr>
                <w:color w:val="auto"/>
              </w:rPr>
              <w:t>NH</w:t>
            </w:r>
            <w:r>
              <w:rPr>
                <w:color w:val="auto"/>
                <w:vertAlign w:val="subscript"/>
              </w:rPr>
              <w:t>3</w:t>
            </w:r>
            <w:r>
              <w:rPr>
                <w:color w:val="auto"/>
              </w:rPr>
              <w:t>-N</w:t>
            </w:r>
            <w:r>
              <w:rPr>
                <w:rFonts w:hint="eastAsia"/>
                <w:color w:val="auto"/>
              </w:rPr>
              <w:t>、S</w:t>
            </w:r>
            <w:r>
              <w:rPr>
                <w:color w:val="auto"/>
              </w:rPr>
              <w:t>S</w:t>
            </w:r>
            <w:r>
              <w:rPr>
                <w:rFonts w:hint="eastAsia"/>
                <w:color w:val="auto"/>
              </w:rPr>
              <w:t>、</w:t>
            </w:r>
          </w:p>
          <w:p>
            <w:pPr>
              <w:pStyle w:val="43"/>
              <w:jc w:val="left"/>
              <w:rPr>
                <w:color w:val="auto"/>
              </w:rPr>
            </w:pPr>
            <w:r>
              <w:rPr>
                <w:rFonts w:hint="eastAsia"/>
                <w:color w:val="auto"/>
              </w:rPr>
              <w:t>石油类</w:t>
            </w:r>
          </w:p>
        </w:tc>
        <w:tc>
          <w:tcPr>
            <w:tcW w:w="851" w:type="dxa"/>
            <w:vAlign w:val="center"/>
          </w:tcPr>
          <w:p>
            <w:pPr>
              <w:pStyle w:val="39"/>
              <w:spacing w:before="62" w:after="31"/>
              <w:rPr>
                <w:b w:val="0"/>
                <w:bCs w:val="0"/>
                <w:color w:val="auto"/>
              </w:rPr>
            </w:pPr>
            <w:r>
              <w:rPr>
                <w:b w:val="0"/>
                <w:bCs w:val="0"/>
                <w:color w:val="auto"/>
              </w:rPr>
              <w:t>间歇</w:t>
            </w:r>
          </w:p>
        </w:tc>
        <w:tc>
          <w:tcPr>
            <w:tcW w:w="992" w:type="dxa"/>
            <w:vAlign w:val="center"/>
          </w:tcPr>
          <w:p>
            <w:pPr>
              <w:pStyle w:val="39"/>
              <w:spacing w:before="62" w:after="31"/>
              <w:rPr>
                <w:b w:val="0"/>
                <w:bCs w:val="0"/>
                <w:color w:val="auto"/>
              </w:rPr>
            </w:pPr>
            <w:r>
              <w:rPr>
                <w:b w:val="0"/>
                <w:bCs w:val="0"/>
                <w:color w:val="auto"/>
              </w:rPr>
              <w:t>厂区污水处理站</w:t>
            </w:r>
            <w:r>
              <w:rPr>
                <w:rFonts w:hint="eastAsia"/>
                <w:b w:val="0"/>
                <w:bCs w:val="0"/>
                <w:color w:val="auto"/>
              </w:rPr>
              <w:t>（隔油池+调节池 +</w:t>
            </w:r>
            <w:r>
              <w:rPr>
                <w:b w:val="0"/>
                <w:bCs w:val="0"/>
                <w:color w:val="auto"/>
              </w:rPr>
              <w:t>AO池</w:t>
            </w:r>
            <w:r>
              <w:rPr>
                <w:rFonts w:hint="eastAsia"/>
                <w:b w:val="0"/>
                <w:bCs w:val="0"/>
                <w:color w:val="auto"/>
              </w:rPr>
              <w:t>+混凝沉淀）</w:t>
            </w:r>
          </w:p>
        </w:tc>
        <w:tc>
          <w:tcPr>
            <w:tcW w:w="2551" w:type="dxa"/>
            <w:vMerge w:val="restart"/>
            <w:vAlign w:val="center"/>
          </w:tcPr>
          <w:p>
            <w:pPr>
              <w:pStyle w:val="39"/>
              <w:spacing w:before="62" w:after="31"/>
              <w:rPr>
                <w:b w:val="0"/>
                <w:bCs w:val="0"/>
                <w:color w:val="auto"/>
              </w:rPr>
            </w:pPr>
            <w:r>
              <w:rPr>
                <w:b w:val="0"/>
                <w:bCs w:val="0"/>
                <w:color w:val="auto"/>
              </w:rPr>
              <w:t>入网标准达到</w:t>
            </w:r>
            <w:r>
              <w:rPr>
                <w:rFonts w:hint="eastAsia"/>
                <w:b w:val="0"/>
                <w:bCs w:val="0"/>
                <w:color w:val="auto"/>
              </w:rPr>
              <w:t>《纺织染整工业水污染物排放标准》（G</w:t>
            </w:r>
            <w:r>
              <w:rPr>
                <w:b w:val="0"/>
                <w:bCs w:val="0"/>
                <w:color w:val="auto"/>
              </w:rPr>
              <w:t>B4287-2012</w:t>
            </w:r>
            <w:r>
              <w:rPr>
                <w:rFonts w:hint="eastAsia"/>
                <w:b w:val="0"/>
                <w:bCs w:val="0"/>
                <w:color w:val="auto"/>
              </w:rPr>
              <w:t>）及其修改单（环保部公告2</w:t>
            </w:r>
            <w:r>
              <w:rPr>
                <w:b w:val="0"/>
                <w:bCs w:val="0"/>
                <w:color w:val="auto"/>
              </w:rPr>
              <w:t>015年第</w:t>
            </w:r>
            <w:r>
              <w:rPr>
                <w:rFonts w:hint="eastAsia"/>
                <w:b w:val="0"/>
                <w:bCs w:val="0"/>
                <w:color w:val="auto"/>
              </w:rPr>
              <w:t>1</w:t>
            </w:r>
            <w:r>
              <w:rPr>
                <w:b w:val="0"/>
                <w:bCs w:val="0"/>
                <w:color w:val="auto"/>
              </w:rPr>
              <w:t>9号</w:t>
            </w:r>
            <w:r>
              <w:rPr>
                <w:rFonts w:hint="eastAsia"/>
                <w:b w:val="0"/>
                <w:bCs w:val="0"/>
                <w:color w:val="auto"/>
              </w:rPr>
              <w:t>），以及《关于&lt;纺织染整工业水污染物排放标准</w:t>
            </w:r>
            <w:r>
              <w:rPr>
                <w:b w:val="0"/>
                <w:bCs w:val="0"/>
                <w:color w:val="auto"/>
              </w:rPr>
              <w:t>&gt;</w:t>
            </w:r>
            <w:r>
              <w:rPr>
                <w:rFonts w:hint="eastAsia"/>
                <w:b w:val="0"/>
                <w:bCs w:val="0"/>
                <w:color w:val="auto"/>
              </w:rPr>
              <w:t>（G</w:t>
            </w:r>
            <w:r>
              <w:rPr>
                <w:b w:val="0"/>
                <w:bCs w:val="0"/>
                <w:color w:val="auto"/>
              </w:rPr>
              <w:t>B4287-2012</w:t>
            </w:r>
            <w:r>
              <w:rPr>
                <w:rFonts w:hint="eastAsia"/>
                <w:b w:val="0"/>
                <w:bCs w:val="0"/>
                <w:color w:val="auto"/>
              </w:rPr>
              <w:t>）部分指标执行要求的公告》（环保部公告2</w:t>
            </w:r>
            <w:r>
              <w:rPr>
                <w:b w:val="0"/>
                <w:bCs w:val="0"/>
                <w:color w:val="auto"/>
              </w:rPr>
              <w:t>015年第</w:t>
            </w:r>
            <w:r>
              <w:rPr>
                <w:rFonts w:hint="eastAsia"/>
                <w:b w:val="0"/>
                <w:bCs w:val="0"/>
                <w:color w:val="auto"/>
              </w:rPr>
              <w:t>4</w:t>
            </w:r>
            <w:r>
              <w:rPr>
                <w:b w:val="0"/>
                <w:bCs w:val="0"/>
                <w:color w:val="auto"/>
              </w:rPr>
              <w:t>1号</w:t>
            </w:r>
            <w:r>
              <w:rPr>
                <w:rFonts w:hint="eastAsia"/>
                <w:b w:val="0"/>
                <w:bCs w:val="0"/>
                <w:color w:val="auto"/>
              </w:rPr>
              <w:t>）中相应的排放限值</w:t>
            </w:r>
          </w:p>
        </w:tc>
        <w:tc>
          <w:tcPr>
            <w:tcW w:w="1128" w:type="dxa"/>
            <w:vMerge w:val="restart"/>
            <w:vAlign w:val="center"/>
          </w:tcPr>
          <w:p>
            <w:pPr>
              <w:pStyle w:val="39"/>
              <w:spacing w:before="62" w:after="31"/>
              <w:rPr>
                <w:b w:val="0"/>
                <w:bCs w:val="0"/>
                <w:color w:val="auto"/>
              </w:rPr>
            </w:pPr>
            <w:r>
              <w:rPr>
                <w:rFonts w:hint="eastAsia"/>
                <w:b w:val="0"/>
                <w:bCs w:val="0"/>
                <w:color w:val="auto"/>
              </w:rPr>
              <w:t>入园区污水管网，最终进入城市废水集中处理厂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74" w:type="dxa"/>
            <w:vAlign w:val="center"/>
          </w:tcPr>
          <w:p>
            <w:pPr>
              <w:pStyle w:val="39"/>
              <w:spacing w:before="62" w:after="31"/>
              <w:rPr>
                <w:b w:val="0"/>
                <w:bCs w:val="0"/>
                <w:color w:val="auto"/>
              </w:rPr>
            </w:pPr>
            <w:r>
              <w:rPr>
                <w:b w:val="0"/>
                <w:bCs w:val="0"/>
                <w:color w:val="auto"/>
              </w:rPr>
              <w:t>生活</w:t>
            </w:r>
          </w:p>
          <w:p>
            <w:pPr>
              <w:pStyle w:val="39"/>
              <w:spacing w:before="62" w:after="31"/>
              <w:rPr>
                <w:b w:val="0"/>
                <w:bCs w:val="0"/>
                <w:color w:val="auto"/>
              </w:rPr>
            </w:pPr>
            <w:r>
              <w:rPr>
                <w:b w:val="0"/>
                <w:bCs w:val="0"/>
                <w:color w:val="auto"/>
              </w:rPr>
              <w:t>污水</w:t>
            </w:r>
          </w:p>
        </w:tc>
        <w:tc>
          <w:tcPr>
            <w:tcW w:w="922" w:type="dxa"/>
            <w:vAlign w:val="center"/>
          </w:tcPr>
          <w:p>
            <w:pPr>
              <w:pStyle w:val="39"/>
              <w:spacing w:before="62" w:after="31"/>
              <w:rPr>
                <w:b w:val="0"/>
                <w:bCs w:val="0"/>
                <w:color w:val="auto"/>
              </w:rPr>
            </w:pPr>
            <w:r>
              <w:rPr>
                <w:b w:val="0"/>
                <w:bCs w:val="0"/>
                <w:color w:val="auto"/>
              </w:rPr>
              <w:t>职工</w:t>
            </w:r>
          </w:p>
          <w:p>
            <w:pPr>
              <w:pStyle w:val="39"/>
              <w:spacing w:before="62" w:after="31"/>
              <w:rPr>
                <w:b w:val="0"/>
                <w:bCs w:val="0"/>
                <w:color w:val="auto"/>
              </w:rPr>
            </w:pPr>
            <w:r>
              <w:rPr>
                <w:b w:val="0"/>
                <w:bCs w:val="0"/>
                <w:color w:val="auto"/>
              </w:rPr>
              <w:t>生活</w:t>
            </w:r>
          </w:p>
        </w:tc>
        <w:tc>
          <w:tcPr>
            <w:tcW w:w="1276" w:type="dxa"/>
            <w:vAlign w:val="center"/>
          </w:tcPr>
          <w:p>
            <w:pPr>
              <w:pStyle w:val="43"/>
              <w:jc w:val="left"/>
              <w:rPr>
                <w:color w:val="auto"/>
              </w:rPr>
            </w:pPr>
            <w:r>
              <w:rPr>
                <w:rFonts w:hint="eastAsia"/>
                <w:color w:val="auto"/>
              </w:rPr>
              <w:t>pH值、</w:t>
            </w:r>
            <w:r>
              <w:rPr>
                <w:color w:val="auto"/>
              </w:rPr>
              <w:t>COD</w:t>
            </w:r>
            <w:r>
              <w:rPr>
                <w:rFonts w:hint="eastAsia"/>
                <w:color w:val="auto"/>
                <w:vertAlign w:val="subscript"/>
              </w:rPr>
              <w:t>C</w:t>
            </w:r>
            <w:r>
              <w:rPr>
                <w:color w:val="auto"/>
                <w:vertAlign w:val="subscript"/>
              </w:rPr>
              <w:t>r</w:t>
            </w:r>
            <w:r>
              <w:rPr>
                <w:color w:val="auto"/>
              </w:rPr>
              <w:t>、</w:t>
            </w:r>
          </w:p>
          <w:p>
            <w:pPr>
              <w:pStyle w:val="43"/>
              <w:jc w:val="left"/>
              <w:rPr>
                <w:color w:val="auto"/>
              </w:rPr>
            </w:pPr>
            <w:r>
              <w:rPr>
                <w:color w:val="auto"/>
              </w:rPr>
              <w:t>NH</w:t>
            </w:r>
            <w:r>
              <w:rPr>
                <w:color w:val="auto"/>
                <w:vertAlign w:val="subscript"/>
              </w:rPr>
              <w:t>3</w:t>
            </w:r>
            <w:r>
              <w:rPr>
                <w:color w:val="auto"/>
              </w:rPr>
              <w:t>-N</w:t>
            </w:r>
            <w:r>
              <w:rPr>
                <w:rFonts w:hint="eastAsia"/>
                <w:color w:val="auto"/>
              </w:rPr>
              <w:t>、SS、 BOD</w:t>
            </w:r>
            <w:r>
              <w:rPr>
                <w:color w:val="auto"/>
                <w:vertAlign w:val="subscript"/>
              </w:rPr>
              <w:t>5</w:t>
            </w:r>
            <w:r>
              <w:rPr>
                <w:rFonts w:hint="eastAsia"/>
                <w:color w:val="auto"/>
              </w:rPr>
              <w:t>、动植物油</w:t>
            </w:r>
          </w:p>
        </w:tc>
        <w:tc>
          <w:tcPr>
            <w:tcW w:w="851" w:type="dxa"/>
            <w:vAlign w:val="center"/>
          </w:tcPr>
          <w:p>
            <w:pPr>
              <w:pStyle w:val="39"/>
              <w:spacing w:before="62" w:after="31"/>
              <w:rPr>
                <w:b w:val="0"/>
                <w:bCs w:val="0"/>
                <w:color w:val="auto"/>
              </w:rPr>
            </w:pPr>
            <w:r>
              <w:rPr>
                <w:b w:val="0"/>
                <w:bCs w:val="0"/>
                <w:color w:val="auto"/>
              </w:rPr>
              <w:t>间歇</w:t>
            </w:r>
          </w:p>
        </w:tc>
        <w:tc>
          <w:tcPr>
            <w:tcW w:w="992" w:type="dxa"/>
            <w:vAlign w:val="center"/>
          </w:tcPr>
          <w:p>
            <w:pPr>
              <w:pStyle w:val="39"/>
              <w:spacing w:before="62" w:after="31"/>
              <w:rPr>
                <w:b w:val="0"/>
                <w:bCs w:val="0"/>
                <w:color w:val="auto"/>
              </w:rPr>
            </w:pPr>
            <w:r>
              <w:rPr>
                <w:b w:val="0"/>
                <w:bCs w:val="0"/>
                <w:color w:val="auto"/>
              </w:rPr>
              <w:t>化粪池</w:t>
            </w:r>
          </w:p>
        </w:tc>
        <w:tc>
          <w:tcPr>
            <w:tcW w:w="2551" w:type="dxa"/>
            <w:vMerge w:val="continue"/>
            <w:vAlign w:val="center"/>
          </w:tcPr>
          <w:p>
            <w:pPr>
              <w:pStyle w:val="39"/>
              <w:spacing w:before="62" w:after="31"/>
              <w:rPr>
                <w:b w:val="0"/>
                <w:bCs w:val="0"/>
                <w:color w:val="auto"/>
              </w:rPr>
            </w:pPr>
          </w:p>
        </w:tc>
        <w:tc>
          <w:tcPr>
            <w:tcW w:w="1128" w:type="dxa"/>
            <w:vMerge w:val="continue"/>
            <w:vAlign w:val="center"/>
          </w:tcPr>
          <w:p>
            <w:pPr>
              <w:pStyle w:val="39"/>
              <w:spacing w:before="62" w:after="31"/>
              <w:rPr>
                <w:b w:val="0"/>
                <w:bCs w:val="0"/>
                <w:color w:val="auto"/>
              </w:rPr>
            </w:pPr>
          </w:p>
        </w:tc>
      </w:tr>
    </w:tbl>
    <w:p>
      <w:pPr>
        <w:pStyle w:val="6"/>
        <w:spacing w:before="156" w:beforeLines="50"/>
      </w:pPr>
      <w:bookmarkStart w:id="40" w:name="_Toc61958997"/>
      <w:bookmarkStart w:id="41" w:name="_Toc81808388"/>
      <w:bookmarkStart w:id="42" w:name="_Toc81808500"/>
      <w:r>
        <w:t>4.1.2废气</w:t>
      </w:r>
      <w:bookmarkEnd w:id="40"/>
      <w:bookmarkEnd w:id="41"/>
      <w:bookmarkEnd w:id="42"/>
    </w:p>
    <w:p>
      <w:pPr>
        <w:ind w:firstLine="480"/>
        <w:rPr>
          <w:rFonts w:cs="Times New Roman"/>
        </w:rPr>
      </w:pPr>
      <w:bookmarkStart w:id="43" w:name="_Hlk68705345"/>
      <w:r>
        <w:rPr>
          <w:rFonts w:hint="eastAsia" w:cs="Times New Roman"/>
        </w:rPr>
        <w:t>本项目</w:t>
      </w:r>
      <w:bookmarkEnd w:id="43"/>
      <w:r>
        <w:rPr>
          <w:rFonts w:hint="eastAsia" w:cs="Times New Roman"/>
        </w:rPr>
        <w:t>已实施部分在生产过程中产生的废气主要为复合工序产生的复合废气（主要污染物为非甲烷总烃）、涂层工序产生的涂层废气（主要污染物为非甲烷总烃）、调浆工序产生的调浆废气（主要污染物为非甲烷总烃）、天然气燃烧产生的燃气废气（主要污染物为SO</w:t>
      </w:r>
      <w:r>
        <w:rPr>
          <w:rFonts w:hint="eastAsia" w:cs="Times New Roman"/>
          <w:vertAlign w:val="subscript"/>
        </w:rPr>
        <w:t>2</w:t>
      </w:r>
      <w:r>
        <w:rPr>
          <w:rFonts w:hint="eastAsia" w:cs="Times New Roman"/>
        </w:rPr>
        <w:t>、NOx、烟尘）以及污水处理产生的恶臭。</w:t>
      </w:r>
    </w:p>
    <w:p>
      <w:pPr>
        <w:ind w:firstLine="480"/>
        <w:rPr>
          <w:rFonts w:cs="Times New Roman"/>
        </w:rPr>
      </w:pPr>
      <w:r>
        <w:rPr>
          <w:rFonts w:hint="eastAsia" w:cs="Times New Roman"/>
        </w:rPr>
        <w:t>根据公司实际情况，本项目复合工艺产生的复合废气经集气罩收集后送至“二级水喷淋+除湿装置+活性炭吸附”处理工艺处理后，通过3</w:t>
      </w:r>
      <w:r>
        <w:rPr>
          <w:rFonts w:cs="Times New Roman"/>
        </w:rPr>
        <w:t>0m高排气筒排放</w:t>
      </w:r>
      <w:r>
        <w:rPr>
          <w:rFonts w:hint="eastAsia" w:cs="Times New Roman"/>
        </w:rPr>
        <w:t>；</w:t>
      </w:r>
      <w:r>
        <w:rPr>
          <w:rFonts w:cs="Times New Roman"/>
        </w:rPr>
        <w:t>涂层工序产生的涂层废气经风管集中收集后送至</w:t>
      </w:r>
      <w:r>
        <w:rPr>
          <w:rFonts w:hint="eastAsia" w:cs="Times New Roman"/>
        </w:rPr>
        <w:t>“二级水喷淋+除湿装置+高压静电+光催化氧化（除臭）”处理工艺处理后，通过3</w:t>
      </w:r>
      <w:r>
        <w:rPr>
          <w:rFonts w:cs="Times New Roman"/>
        </w:rPr>
        <w:t>0m高排气筒排放</w:t>
      </w:r>
      <w:r>
        <w:rPr>
          <w:rFonts w:hint="eastAsia" w:cs="Times New Roman"/>
        </w:rPr>
        <w:t>；天然气直燃废气经收集后同涂层废气一道通过3</w:t>
      </w:r>
      <w:r>
        <w:rPr>
          <w:rFonts w:cs="Times New Roman"/>
        </w:rPr>
        <w:t>0m高排气筒排放</w:t>
      </w:r>
      <w:r>
        <w:rPr>
          <w:rFonts w:hint="eastAsia" w:cs="Times New Roman"/>
        </w:rPr>
        <w:t>；调浆工序在密闭车间进行，产生的少量废气无组织排放；厂区污水站调节池和A</w:t>
      </w:r>
      <w:r>
        <w:rPr>
          <w:rFonts w:cs="Times New Roman"/>
        </w:rPr>
        <w:t>O池进行密闭加盖处理</w:t>
      </w:r>
      <w:r>
        <w:rPr>
          <w:rFonts w:hint="eastAsia" w:cs="Times New Roman"/>
        </w:rPr>
        <w:t>，</w:t>
      </w:r>
      <w:r>
        <w:rPr>
          <w:rFonts w:cs="Times New Roman"/>
        </w:rPr>
        <w:t>产生少量的恶臭无组织排放</w:t>
      </w:r>
      <w:r>
        <w:rPr>
          <w:rFonts w:hint="eastAsia" w:cs="Times New Roman"/>
        </w:rPr>
        <w:t>。废气治理情况见表4-2。</w:t>
      </w:r>
    </w:p>
    <w:p>
      <w:pPr>
        <w:pStyle w:val="39"/>
        <w:spacing w:before="62" w:after="31"/>
        <w:rPr>
          <w:color w:val="auto"/>
        </w:rPr>
      </w:pPr>
      <w:r>
        <w:rPr>
          <w:color w:val="auto"/>
        </w:rPr>
        <w:t>表4-</w:t>
      </w:r>
      <w:r>
        <w:rPr>
          <w:rFonts w:hint="eastAsia"/>
          <w:color w:val="auto"/>
        </w:rPr>
        <w:t>2</w:t>
      </w:r>
      <w:r>
        <w:rPr>
          <w:color w:val="auto"/>
        </w:rPr>
        <w:t xml:space="preserve">  废</w:t>
      </w:r>
      <w:r>
        <w:rPr>
          <w:rFonts w:hint="eastAsia"/>
          <w:color w:val="auto"/>
        </w:rPr>
        <w:t>气</w:t>
      </w:r>
      <w:r>
        <w:rPr>
          <w:color w:val="auto"/>
        </w:rPr>
        <w:t>治理情况汇总表</w:t>
      </w:r>
    </w:p>
    <w:tbl>
      <w:tblPr>
        <w:tblStyle w:val="22"/>
        <w:tblW w:w="8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1061"/>
        <w:gridCol w:w="1275"/>
        <w:gridCol w:w="2267"/>
        <w:gridCol w:w="2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61"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rFonts w:hint="eastAsia"/>
                <w:b/>
                <w:bCs w:val="0"/>
                <w:color w:val="auto"/>
              </w:rPr>
              <w:t>废气</w:t>
            </w:r>
            <w:r>
              <w:rPr>
                <w:b/>
                <w:bCs w:val="0"/>
                <w:color w:val="auto"/>
              </w:rPr>
              <w:t>类别</w:t>
            </w:r>
          </w:p>
        </w:tc>
        <w:tc>
          <w:tcPr>
            <w:tcW w:w="1061"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b/>
                <w:bCs w:val="0"/>
                <w:color w:val="auto"/>
              </w:rPr>
              <w:t>废</w:t>
            </w:r>
            <w:r>
              <w:rPr>
                <w:rFonts w:hint="eastAsia"/>
                <w:b/>
                <w:bCs w:val="0"/>
                <w:color w:val="auto"/>
              </w:rPr>
              <w:t>气</w:t>
            </w:r>
            <w:r>
              <w:rPr>
                <w:b/>
                <w:bCs w:val="0"/>
                <w:color w:val="auto"/>
              </w:rPr>
              <w:t>来源</w:t>
            </w:r>
          </w:p>
        </w:tc>
        <w:tc>
          <w:tcPr>
            <w:tcW w:w="1275"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b/>
                <w:bCs w:val="0"/>
                <w:color w:val="auto"/>
              </w:rPr>
              <w:t>污染物种类</w:t>
            </w:r>
          </w:p>
        </w:tc>
        <w:tc>
          <w:tcPr>
            <w:tcW w:w="2267"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b/>
                <w:bCs w:val="0"/>
                <w:color w:val="auto"/>
              </w:rPr>
              <w:t>治理设施</w:t>
            </w:r>
          </w:p>
        </w:tc>
        <w:tc>
          <w:tcPr>
            <w:tcW w:w="2827"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b/>
                <w:bCs w:val="0"/>
                <w:color w:val="auto"/>
              </w:rPr>
              <w:t>设计指标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复合废气</w:t>
            </w:r>
          </w:p>
        </w:tc>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复合</w:t>
            </w:r>
          </w:p>
        </w:tc>
        <w:tc>
          <w:tcPr>
            <w:tcW w:w="1275"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非甲烷总烃</w:t>
            </w:r>
          </w:p>
        </w:tc>
        <w:tc>
          <w:tcPr>
            <w:tcW w:w="2267" w:type="dxa"/>
            <w:tcBorders>
              <w:top w:val="single" w:color="auto" w:sz="4" w:space="0"/>
              <w:left w:val="single" w:color="auto" w:sz="4" w:space="0"/>
              <w:right w:val="single" w:color="auto" w:sz="4" w:space="0"/>
            </w:tcBorders>
            <w:vAlign w:val="center"/>
          </w:tcPr>
          <w:p>
            <w:pPr>
              <w:pStyle w:val="44"/>
              <w:rPr>
                <w:color w:val="auto"/>
              </w:rPr>
            </w:pPr>
            <w:r>
              <w:rPr>
                <w:color w:val="auto"/>
              </w:rPr>
              <w:t>经集气罩收集后送至</w:t>
            </w:r>
            <w:r>
              <w:rPr>
                <w:rFonts w:hint="eastAsia"/>
                <w:color w:val="auto"/>
              </w:rPr>
              <w:t>“二级水喷淋+除湿装置+活性炭吸附”处理工艺处理后，最后通过3</w:t>
            </w:r>
            <w:r>
              <w:rPr>
                <w:color w:val="auto"/>
              </w:rPr>
              <w:t>0m高排气筒排放</w:t>
            </w:r>
          </w:p>
        </w:tc>
        <w:tc>
          <w:tcPr>
            <w:tcW w:w="2827" w:type="dxa"/>
            <w:vMerge w:val="restart"/>
            <w:tcBorders>
              <w:top w:val="single" w:color="auto" w:sz="4" w:space="0"/>
              <w:left w:val="single" w:color="auto" w:sz="4" w:space="0"/>
              <w:right w:val="single" w:color="auto" w:sz="4" w:space="0"/>
            </w:tcBorders>
            <w:vAlign w:val="center"/>
          </w:tcPr>
          <w:p>
            <w:pPr>
              <w:pStyle w:val="44"/>
              <w:rPr>
                <w:color w:val="auto"/>
              </w:rPr>
            </w:pPr>
            <w:r>
              <w:rPr>
                <w:rFonts w:hint="eastAsia"/>
                <w:color w:val="auto"/>
              </w:rPr>
              <w:t>非甲烷总烃、臭气浓度排放执行《纺织染整工业大气污染物排放标准》（DB33/962-2015）表1规定的新建企业相关排放限值；颗粒物、SO</w:t>
            </w:r>
            <w:r>
              <w:rPr>
                <w:color w:val="auto"/>
                <w:vertAlign w:val="subscript"/>
              </w:rPr>
              <w:t>2</w:t>
            </w:r>
            <w:r>
              <w:rPr>
                <w:rFonts w:hint="eastAsia"/>
                <w:color w:val="auto"/>
              </w:rPr>
              <w:t>、NOx排放参照执行《工业炉窑大气污染综合治理方案》（环大气[</w:t>
            </w:r>
            <w:r>
              <w:rPr>
                <w:color w:val="auto"/>
              </w:rPr>
              <w:t>2019]56号</w:t>
            </w:r>
            <w:r>
              <w:rPr>
                <w:rFonts w:hint="eastAsia"/>
                <w:color w:val="auto"/>
              </w:rPr>
              <w:t>）和《关于印发浙江省工业炉窑大气污染综合治理实施方案的通知》（浙环函[2019]315号）中未制定行业标准的其他炉窑相关排放限值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涂层废气</w:t>
            </w:r>
          </w:p>
        </w:tc>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涂层</w:t>
            </w:r>
          </w:p>
        </w:tc>
        <w:tc>
          <w:tcPr>
            <w:tcW w:w="1275"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非甲烷总烃</w:t>
            </w:r>
          </w:p>
        </w:tc>
        <w:tc>
          <w:tcPr>
            <w:tcW w:w="2267" w:type="dxa"/>
            <w:tcBorders>
              <w:top w:val="single" w:color="auto" w:sz="4" w:space="0"/>
              <w:left w:val="single" w:color="auto" w:sz="4" w:space="0"/>
              <w:right w:val="single" w:color="auto" w:sz="4" w:space="0"/>
            </w:tcBorders>
            <w:vAlign w:val="center"/>
          </w:tcPr>
          <w:p>
            <w:pPr>
              <w:pStyle w:val="44"/>
              <w:rPr>
                <w:color w:val="auto"/>
              </w:rPr>
            </w:pPr>
            <w:r>
              <w:rPr>
                <w:rFonts w:hint="eastAsia"/>
                <w:color w:val="auto"/>
              </w:rPr>
              <w:t>经风管集中收集后送至“二级水喷淋+除湿装置+高压静电+光催化氧化（除臭）”处理工艺后，最后通过3</w:t>
            </w:r>
            <w:r>
              <w:rPr>
                <w:color w:val="auto"/>
              </w:rPr>
              <w:t>0m高排气筒排放</w:t>
            </w:r>
          </w:p>
        </w:tc>
        <w:tc>
          <w:tcPr>
            <w:tcW w:w="2827" w:type="dxa"/>
            <w:vMerge w:val="continue"/>
            <w:tcBorders>
              <w:left w:val="single" w:color="auto" w:sz="4" w:space="0"/>
              <w:right w:val="single" w:color="auto" w:sz="4" w:space="0"/>
            </w:tcBorders>
            <w:vAlign w:val="center"/>
          </w:tcPr>
          <w:p>
            <w:pPr>
              <w:pStyle w:val="44"/>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燃气废气</w:t>
            </w:r>
          </w:p>
        </w:tc>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天然气燃烧</w:t>
            </w:r>
          </w:p>
        </w:tc>
        <w:tc>
          <w:tcPr>
            <w:tcW w:w="1275"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SO</w:t>
            </w:r>
            <w:r>
              <w:rPr>
                <w:rFonts w:hint="eastAsia"/>
                <w:color w:val="auto"/>
                <w:vertAlign w:val="subscript"/>
              </w:rPr>
              <w:t>2</w:t>
            </w:r>
            <w:r>
              <w:rPr>
                <w:rFonts w:hint="eastAsia"/>
                <w:color w:val="auto"/>
              </w:rPr>
              <w:t>、NOx、</w:t>
            </w:r>
          </w:p>
          <w:p>
            <w:pPr>
              <w:pStyle w:val="44"/>
              <w:rPr>
                <w:color w:val="auto"/>
              </w:rPr>
            </w:pPr>
            <w:r>
              <w:rPr>
                <w:rFonts w:hint="eastAsia"/>
                <w:color w:val="auto"/>
              </w:rPr>
              <w:t>烟尘（以颗粒物计）</w:t>
            </w:r>
          </w:p>
        </w:tc>
        <w:tc>
          <w:tcPr>
            <w:tcW w:w="2267" w:type="dxa"/>
            <w:tcBorders>
              <w:left w:val="single" w:color="auto" w:sz="4" w:space="0"/>
              <w:right w:val="single" w:color="auto" w:sz="4" w:space="0"/>
            </w:tcBorders>
            <w:vAlign w:val="center"/>
          </w:tcPr>
          <w:p>
            <w:pPr>
              <w:pStyle w:val="44"/>
              <w:rPr>
                <w:b/>
                <w:bCs w:val="0"/>
                <w:color w:val="auto"/>
              </w:rPr>
            </w:pPr>
            <w:r>
              <w:rPr>
                <w:color w:val="auto"/>
              </w:rPr>
              <w:t>与涂层废气一同经</w:t>
            </w:r>
            <w:r>
              <w:rPr>
                <w:rFonts w:hint="eastAsia"/>
                <w:color w:val="auto"/>
              </w:rPr>
              <w:t>3</w:t>
            </w:r>
            <w:r>
              <w:rPr>
                <w:color w:val="auto"/>
              </w:rPr>
              <w:t>0m高排气筒排放</w:t>
            </w:r>
          </w:p>
        </w:tc>
        <w:tc>
          <w:tcPr>
            <w:tcW w:w="2827" w:type="dxa"/>
            <w:vMerge w:val="continue"/>
            <w:tcBorders>
              <w:left w:val="single" w:color="auto" w:sz="4" w:space="0"/>
              <w:right w:val="single" w:color="auto" w:sz="4" w:space="0"/>
            </w:tcBorders>
            <w:vAlign w:val="center"/>
          </w:tcPr>
          <w:p>
            <w:pPr>
              <w:pStyle w:val="44"/>
              <w:rPr>
                <w:b/>
                <w:bCs w:val="0"/>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调浆废气</w:t>
            </w:r>
          </w:p>
        </w:tc>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调浆工序</w:t>
            </w:r>
          </w:p>
        </w:tc>
        <w:tc>
          <w:tcPr>
            <w:tcW w:w="1275"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非甲烷总烃</w:t>
            </w:r>
          </w:p>
        </w:tc>
        <w:tc>
          <w:tcPr>
            <w:tcW w:w="2267" w:type="dxa"/>
            <w:tcBorders>
              <w:left w:val="single" w:color="auto" w:sz="4" w:space="0"/>
              <w:right w:val="single" w:color="auto" w:sz="4" w:space="0"/>
            </w:tcBorders>
            <w:vAlign w:val="center"/>
          </w:tcPr>
          <w:p>
            <w:pPr>
              <w:pStyle w:val="44"/>
              <w:rPr>
                <w:color w:val="auto"/>
              </w:rPr>
            </w:pPr>
            <w:r>
              <w:rPr>
                <w:color w:val="auto"/>
              </w:rPr>
              <w:t>调浆工序在密闭车间进行</w:t>
            </w:r>
            <w:r>
              <w:rPr>
                <w:rFonts w:hint="eastAsia"/>
                <w:color w:val="auto"/>
              </w:rPr>
              <w:t>，</w:t>
            </w:r>
            <w:r>
              <w:rPr>
                <w:color w:val="auto"/>
              </w:rPr>
              <w:t>少量废气无组织排放</w:t>
            </w:r>
          </w:p>
        </w:tc>
        <w:tc>
          <w:tcPr>
            <w:tcW w:w="2827" w:type="dxa"/>
            <w:vMerge w:val="continue"/>
            <w:tcBorders>
              <w:left w:val="single" w:color="auto" w:sz="4" w:space="0"/>
              <w:right w:val="single" w:color="auto" w:sz="4" w:space="0"/>
            </w:tcBorders>
            <w:vAlign w:val="center"/>
          </w:tcPr>
          <w:p>
            <w:pPr>
              <w:pStyle w:val="44"/>
              <w:rPr>
                <w:b/>
                <w:bCs w:val="0"/>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恶臭</w:t>
            </w:r>
          </w:p>
        </w:tc>
        <w:tc>
          <w:tcPr>
            <w:tcW w:w="1061"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污水站</w:t>
            </w:r>
          </w:p>
        </w:tc>
        <w:tc>
          <w:tcPr>
            <w:tcW w:w="1275" w:type="dxa"/>
            <w:tcBorders>
              <w:top w:val="single" w:color="auto" w:sz="4" w:space="0"/>
              <w:left w:val="single" w:color="auto" w:sz="4" w:space="0"/>
              <w:bottom w:val="single" w:color="auto" w:sz="4" w:space="0"/>
              <w:right w:val="single" w:color="auto" w:sz="4" w:space="0"/>
            </w:tcBorders>
            <w:vAlign w:val="center"/>
          </w:tcPr>
          <w:p>
            <w:pPr>
              <w:pStyle w:val="44"/>
              <w:rPr>
                <w:color w:val="auto"/>
              </w:rPr>
            </w:pPr>
            <w:r>
              <w:rPr>
                <w:rFonts w:hint="eastAsia"/>
                <w:color w:val="auto"/>
              </w:rPr>
              <w:t>恶臭</w:t>
            </w:r>
          </w:p>
        </w:tc>
        <w:tc>
          <w:tcPr>
            <w:tcW w:w="2267" w:type="dxa"/>
            <w:tcBorders>
              <w:left w:val="single" w:color="auto" w:sz="4" w:space="0"/>
              <w:bottom w:val="single" w:color="auto" w:sz="4" w:space="0"/>
              <w:right w:val="single" w:color="auto" w:sz="4" w:space="0"/>
            </w:tcBorders>
            <w:vAlign w:val="center"/>
          </w:tcPr>
          <w:p>
            <w:pPr>
              <w:pStyle w:val="44"/>
              <w:rPr>
                <w:color w:val="auto"/>
              </w:rPr>
            </w:pPr>
            <w:r>
              <w:rPr>
                <w:color w:val="auto"/>
              </w:rPr>
              <w:t>污水站密闭加盖</w:t>
            </w:r>
            <w:r>
              <w:rPr>
                <w:rFonts w:hint="eastAsia"/>
                <w:color w:val="auto"/>
              </w:rPr>
              <w:t>，</w:t>
            </w:r>
            <w:r>
              <w:rPr>
                <w:color w:val="auto"/>
              </w:rPr>
              <w:t>少量恶臭无组织排放</w:t>
            </w:r>
          </w:p>
        </w:tc>
        <w:tc>
          <w:tcPr>
            <w:tcW w:w="2827" w:type="dxa"/>
            <w:vMerge w:val="continue"/>
            <w:tcBorders>
              <w:left w:val="single" w:color="auto" w:sz="4" w:space="0"/>
              <w:right w:val="single" w:color="auto" w:sz="4" w:space="0"/>
            </w:tcBorders>
            <w:vAlign w:val="center"/>
          </w:tcPr>
          <w:p>
            <w:pPr>
              <w:pStyle w:val="44"/>
              <w:rPr>
                <w:b/>
                <w:bCs w:val="0"/>
                <w:color w:val="auto"/>
              </w:rPr>
            </w:pPr>
          </w:p>
        </w:tc>
      </w:tr>
    </w:tbl>
    <w:p>
      <w:pPr>
        <w:pStyle w:val="6"/>
        <w:spacing w:before="156" w:beforeLines="50"/>
      </w:pPr>
      <w:bookmarkStart w:id="44" w:name="_Toc81808389"/>
      <w:bookmarkStart w:id="45" w:name="_Toc81808501"/>
      <w:bookmarkStart w:id="46" w:name="_Toc61958998"/>
      <w:r>
        <w:t>4.1.3噪声</w:t>
      </w:r>
      <w:bookmarkEnd w:id="44"/>
      <w:bookmarkEnd w:id="45"/>
      <w:bookmarkEnd w:id="46"/>
    </w:p>
    <w:p>
      <w:pPr>
        <w:ind w:firstLine="480"/>
        <w:rPr>
          <w:rFonts w:cs="Times New Roman"/>
        </w:rPr>
      </w:pPr>
      <w:bookmarkStart w:id="47" w:name="_Hlk68788917"/>
      <w:r>
        <w:rPr>
          <w:rFonts w:hint="eastAsia" w:cs="Times New Roman"/>
        </w:rPr>
        <w:t>本项目已实施部分的噪声源主要为复合机、涂层机、空压机、废气处理装置等设备</w:t>
      </w:r>
      <w:bookmarkEnd w:id="47"/>
      <w:r>
        <w:rPr>
          <w:rFonts w:hint="eastAsia" w:cs="Times New Roman"/>
        </w:rPr>
        <w:t>运行噪声。</w:t>
      </w:r>
    </w:p>
    <w:p>
      <w:pPr>
        <w:pStyle w:val="2"/>
        <w:ind w:left="0" w:leftChars="0" w:firstLine="480"/>
      </w:pPr>
      <w:r>
        <w:rPr>
          <w:rFonts w:hint="eastAsia"/>
        </w:rPr>
        <w:t>我公司在设备选型时，选用低噪声型设备，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从而使噪声最大限度地随距离自然衰减。</w:t>
      </w:r>
    </w:p>
    <w:p>
      <w:pPr>
        <w:pStyle w:val="6"/>
      </w:pPr>
      <w:bookmarkStart w:id="48" w:name="_Toc81808502"/>
      <w:bookmarkStart w:id="49" w:name="_Toc61958999"/>
      <w:bookmarkStart w:id="50" w:name="_Toc81808390"/>
      <w:r>
        <w:t>4.1.4固（液）体废物</w:t>
      </w:r>
      <w:bookmarkEnd w:id="48"/>
      <w:bookmarkEnd w:id="49"/>
      <w:bookmarkEnd w:id="50"/>
    </w:p>
    <w:p>
      <w:pPr>
        <w:ind w:firstLine="480"/>
      </w:pPr>
      <w:r>
        <w:rPr>
          <w:rFonts w:hint="eastAsia"/>
        </w:rPr>
        <w:t>根据公司实际情况及自查，本项目已实施部分生产过程中产生的固体废物主要为废布料、破损废包装桶、废活性炭、废胶渣、废胶水、废抹布、污泥、油泥以及职工生活垃圾，固体废物分析结果见表4</w:t>
      </w:r>
      <w:r>
        <w:t>-3</w:t>
      </w:r>
      <w:r>
        <w:rPr>
          <w:rFonts w:hint="eastAsia"/>
        </w:rPr>
        <w:t>。</w:t>
      </w:r>
    </w:p>
    <w:p>
      <w:pPr>
        <w:pStyle w:val="39"/>
        <w:spacing w:before="62" w:after="31"/>
        <w:rPr>
          <w:color w:val="auto"/>
        </w:rPr>
      </w:pPr>
      <w:r>
        <w:rPr>
          <w:color w:val="auto"/>
        </w:rPr>
        <w:t>表4-</w:t>
      </w:r>
      <w:r>
        <w:rPr>
          <w:rFonts w:hint="eastAsia"/>
          <w:color w:val="auto"/>
        </w:rPr>
        <w:t>3</w:t>
      </w:r>
      <w:r>
        <w:rPr>
          <w:color w:val="auto"/>
        </w:rPr>
        <w:t xml:space="preserve">   固体废物分析结果汇总表</w:t>
      </w:r>
      <w:r>
        <w:rPr>
          <w:rFonts w:hint="eastAsia"/>
          <w:color w:val="auto"/>
        </w:rPr>
        <w:t xml:space="preserve"> </w:t>
      </w:r>
      <w:r>
        <w:rPr>
          <w:color w:val="auto"/>
        </w:rPr>
        <w:t xml:space="preserve">  单位：t/a</w:t>
      </w:r>
    </w:p>
    <w:tbl>
      <w:tblPr>
        <w:tblStyle w:val="22"/>
        <w:tblW w:w="52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040"/>
        <w:gridCol w:w="1152"/>
        <w:gridCol w:w="722"/>
        <w:gridCol w:w="1216"/>
        <w:gridCol w:w="1406"/>
        <w:gridCol w:w="862"/>
        <w:gridCol w:w="1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80" w:type="pct"/>
            <w:vAlign w:val="center"/>
          </w:tcPr>
          <w:p>
            <w:pPr>
              <w:pStyle w:val="39"/>
              <w:spacing w:before="62" w:after="31"/>
              <w:rPr>
                <w:b w:val="0"/>
                <w:bCs w:val="0"/>
                <w:color w:val="auto"/>
                <w:szCs w:val="21"/>
              </w:rPr>
            </w:pPr>
            <w:r>
              <w:rPr>
                <w:color w:val="auto"/>
                <w:szCs w:val="21"/>
              </w:rPr>
              <w:t>序号</w:t>
            </w:r>
          </w:p>
        </w:tc>
        <w:tc>
          <w:tcPr>
            <w:tcW w:w="573" w:type="pct"/>
            <w:vAlign w:val="center"/>
          </w:tcPr>
          <w:p>
            <w:pPr>
              <w:pStyle w:val="39"/>
              <w:spacing w:before="62" w:after="31"/>
              <w:rPr>
                <w:b w:val="0"/>
                <w:bCs w:val="0"/>
                <w:color w:val="auto"/>
                <w:szCs w:val="21"/>
              </w:rPr>
            </w:pPr>
            <w:r>
              <w:rPr>
                <w:color w:val="auto"/>
                <w:szCs w:val="21"/>
              </w:rPr>
              <w:t>名称</w:t>
            </w:r>
          </w:p>
        </w:tc>
        <w:tc>
          <w:tcPr>
            <w:tcW w:w="635" w:type="pct"/>
            <w:vAlign w:val="center"/>
          </w:tcPr>
          <w:p>
            <w:pPr>
              <w:pStyle w:val="39"/>
              <w:spacing w:before="62" w:after="31"/>
              <w:rPr>
                <w:b w:val="0"/>
                <w:bCs w:val="0"/>
                <w:color w:val="auto"/>
                <w:szCs w:val="21"/>
              </w:rPr>
            </w:pPr>
            <w:r>
              <w:rPr>
                <w:color w:val="auto"/>
                <w:szCs w:val="21"/>
              </w:rPr>
              <w:t>产生工序</w:t>
            </w:r>
          </w:p>
        </w:tc>
        <w:tc>
          <w:tcPr>
            <w:tcW w:w="398" w:type="pct"/>
            <w:vAlign w:val="center"/>
          </w:tcPr>
          <w:p>
            <w:pPr>
              <w:pStyle w:val="39"/>
              <w:spacing w:before="62" w:after="31"/>
              <w:rPr>
                <w:b w:val="0"/>
                <w:bCs w:val="0"/>
                <w:color w:val="auto"/>
                <w:szCs w:val="21"/>
              </w:rPr>
            </w:pPr>
            <w:r>
              <w:rPr>
                <w:color w:val="auto"/>
                <w:szCs w:val="21"/>
              </w:rPr>
              <w:t>形态</w:t>
            </w:r>
          </w:p>
        </w:tc>
        <w:tc>
          <w:tcPr>
            <w:tcW w:w="670" w:type="pct"/>
            <w:vAlign w:val="center"/>
          </w:tcPr>
          <w:p>
            <w:pPr>
              <w:pStyle w:val="39"/>
              <w:spacing w:before="62" w:after="31"/>
              <w:rPr>
                <w:b w:val="0"/>
                <w:bCs w:val="0"/>
                <w:color w:val="auto"/>
                <w:szCs w:val="21"/>
              </w:rPr>
            </w:pPr>
            <w:r>
              <w:rPr>
                <w:color w:val="auto"/>
                <w:szCs w:val="21"/>
              </w:rPr>
              <w:t>主要成分</w:t>
            </w:r>
          </w:p>
        </w:tc>
        <w:tc>
          <w:tcPr>
            <w:tcW w:w="775" w:type="pct"/>
            <w:vAlign w:val="center"/>
          </w:tcPr>
          <w:p>
            <w:pPr>
              <w:pStyle w:val="39"/>
              <w:spacing w:before="62" w:after="31"/>
              <w:rPr>
                <w:b w:val="0"/>
                <w:bCs w:val="0"/>
                <w:color w:val="auto"/>
                <w:szCs w:val="21"/>
              </w:rPr>
            </w:pPr>
            <w:r>
              <w:rPr>
                <w:color w:val="auto"/>
                <w:szCs w:val="21"/>
              </w:rPr>
              <w:t>属性</w:t>
            </w:r>
          </w:p>
        </w:tc>
        <w:tc>
          <w:tcPr>
            <w:tcW w:w="475" w:type="pct"/>
            <w:vAlign w:val="center"/>
          </w:tcPr>
          <w:p>
            <w:pPr>
              <w:pStyle w:val="39"/>
              <w:spacing w:before="62" w:after="31"/>
              <w:rPr>
                <w:b w:val="0"/>
                <w:bCs w:val="0"/>
                <w:color w:val="auto"/>
                <w:szCs w:val="21"/>
              </w:rPr>
            </w:pPr>
            <w:r>
              <w:rPr>
                <w:color w:val="auto"/>
                <w:szCs w:val="21"/>
              </w:rPr>
              <w:t>产生量</w:t>
            </w:r>
          </w:p>
        </w:tc>
        <w:tc>
          <w:tcPr>
            <w:tcW w:w="1093" w:type="pct"/>
            <w:vAlign w:val="center"/>
          </w:tcPr>
          <w:p>
            <w:pPr>
              <w:pStyle w:val="39"/>
              <w:spacing w:before="62" w:after="31"/>
              <w:rPr>
                <w:b w:val="0"/>
                <w:bCs w:val="0"/>
                <w:color w:val="auto"/>
                <w:szCs w:val="21"/>
              </w:rPr>
            </w:pPr>
            <w:r>
              <w:rPr>
                <w:color w:val="auto"/>
                <w:szCs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1</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废布料</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原料使用</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固态</w:t>
            </w:r>
          </w:p>
        </w:tc>
        <w:tc>
          <w:tcPr>
            <w:tcW w:w="670" w:type="pct"/>
            <w:vAlign w:val="center"/>
          </w:tcPr>
          <w:p>
            <w:pPr>
              <w:pStyle w:val="44"/>
              <w:rPr>
                <w:color w:val="auto"/>
                <w:szCs w:val="21"/>
              </w:rPr>
            </w:pPr>
            <w:r>
              <w:rPr>
                <w:color w:val="auto"/>
                <w:szCs w:val="21"/>
              </w:rPr>
              <w:t>废布料纤维</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一般固废170-999-01</w:t>
            </w:r>
          </w:p>
        </w:tc>
        <w:tc>
          <w:tcPr>
            <w:tcW w:w="475" w:type="pct"/>
            <w:vAlign w:val="center"/>
          </w:tcPr>
          <w:p>
            <w:pPr>
              <w:pStyle w:val="44"/>
              <w:rPr>
                <w:color w:val="auto"/>
                <w:szCs w:val="21"/>
              </w:rPr>
            </w:pPr>
            <w:r>
              <w:rPr>
                <w:color w:val="auto"/>
                <w:szCs w:val="21"/>
              </w:rPr>
              <w:t>1.2</w:t>
            </w:r>
          </w:p>
        </w:tc>
        <w:tc>
          <w:tcPr>
            <w:tcW w:w="1093" w:type="pct"/>
            <w:vAlign w:val="center"/>
          </w:tcPr>
          <w:p>
            <w:pPr>
              <w:pStyle w:val="44"/>
              <w:rPr>
                <w:color w:val="auto"/>
                <w:szCs w:val="21"/>
              </w:rPr>
            </w:pPr>
            <w:r>
              <w:rPr>
                <w:color w:val="auto"/>
                <w:szCs w:val="21"/>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2</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破损废包装桶</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原料使用</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固态</w:t>
            </w:r>
          </w:p>
        </w:tc>
        <w:tc>
          <w:tcPr>
            <w:tcW w:w="670" w:type="pct"/>
            <w:vAlign w:val="center"/>
          </w:tcPr>
          <w:p>
            <w:pPr>
              <w:pStyle w:val="44"/>
              <w:rPr>
                <w:color w:val="auto"/>
                <w:szCs w:val="21"/>
              </w:rPr>
            </w:pPr>
            <w:r>
              <w:rPr>
                <w:color w:val="auto"/>
                <w:szCs w:val="21"/>
              </w:rPr>
              <w:t>塑料、胶水</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危险废物</w:t>
            </w:r>
          </w:p>
          <w:p>
            <w:pPr>
              <w:pStyle w:val="44"/>
              <w:rPr>
                <w:color w:val="auto"/>
                <w:szCs w:val="21"/>
              </w:rPr>
            </w:pPr>
            <w:r>
              <w:rPr>
                <w:color w:val="auto"/>
                <w:szCs w:val="21"/>
              </w:rPr>
              <w:t>900-041-49</w:t>
            </w:r>
          </w:p>
        </w:tc>
        <w:tc>
          <w:tcPr>
            <w:tcW w:w="475" w:type="pct"/>
            <w:vAlign w:val="center"/>
          </w:tcPr>
          <w:p>
            <w:pPr>
              <w:pStyle w:val="44"/>
              <w:rPr>
                <w:color w:val="auto"/>
                <w:szCs w:val="21"/>
              </w:rPr>
            </w:pPr>
            <w:r>
              <w:rPr>
                <w:color w:val="auto"/>
                <w:szCs w:val="21"/>
              </w:rPr>
              <w:t>0.8</w:t>
            </w:r>
          </w:p>
        </w:tc>
        <w:tc>
          <w:tcPr>
            <w:tcW w:w="1093" w:type="pct"/>
            <w:vMerge w:val="restart"/>
            <w:vAlign w:val="center"/>
          </w:tcPr>
          <w:p>
            <w:pPr>
              <w:pStyle w:val="44"/>
              <w:rPr>
                <w:color w:val="auto"/>
                <w:szCs w:val="21"/>
              </w:rPr>
            </w:pPr>
            <w:r>
              <w:rPr>
                <w:color w:val="auto"/>
                <w:szCs w:val="21"/>
              </w:rPr>
              <w:t>厂区内危废仓库暂存，委托嘉兴市桐源环境科技有限公司收集转运，最终由嘉兴市固体废物处置有限责任公司处置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3</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废活性炭</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废气处理</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固态</w:t>
            </w:r>
          </w:p>
        </w:tc>
        <w:tc>
          <w:tcPr>
            <w:tcW w:w="670" w:type="pct"/>
            <w:vAlign w:val="center"/>
          </w:tcPr>
          <w:p>
            <w:pPr>
              <w:pStyle w:val="44"/>
              <w:rPr>
                <w:color w:val="auto"/>
                <w:szCs w:val="21"/>
              </w:rPr>
            </w:pPr>
            <w:r>
              <w:rPr>
                <w:color w:val="auto"/>
                <w:szCs w:val="21"/>
              </w:rPr>
              <w:t>活性炭</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危险废物</w:t>
            </w:r>
          </w:p>
          <w:p>
            <w:pPr>
              <w:pStyle w:val="44"/>
              <w:rPr>
                <w:color w:val="auto"/>
                <w:szCs w:val="21"/>
              </w:rPr>
            </w:pPr>
            <w:r>
              <w:rPr>
                <w:color w:val="auto"/>
                <w:szCs w:val="21"/>
              </w:rPr>
              <w:t>900-039-49</w:t>
            </w:r>
          </w:p>
        </w:tc>
        <w:tc>
          <w:tcPr>
            <w:tcW w:w="475" w:type="pct"/>
            <w:vAlign w:val="center"/>
          </w:tcPr>
          <w:p>
            <w:pPr>
              <w:pStyle w:val="44"/>
              <w:rPr>
                <w:color w:val="auto"/>
                <w:szCs w:val="21"/>
              </w:rPr>
            </w:pPr>
            <w:r>
              <w:rPr>
                <w:color w:val="auto"/>
                <w:szCs w:val="21"/>
              </w:rPr>
              <w:t>3.2</w:t>
            </w:r>
          </w:p>
        </w:tc>
        <w:tc>
          <w:tcPr>
            <w:tcW w:w="1093" w:type="pct"/>
            <w:vMerge w:val="continue"/>
            <w:vAlign w:val="center"/>
          </w:tcPr>
          <w:p>
            <w:pPr>
              <w:pStyle w:val="44"/>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4</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废胶渣</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生产过程</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固态</w:t>
            </w:r>
          </w:p>
        </w:tc>
        <w:tc>
          <w:tcPr>
            <w:tcW w:w="670" w:type="pct"/>
            <w:vAlign w:val="center"/>
          </w:tcPr>
          <w:p>
            <w:pPr>
              <w:pStyle w:val="44"/>
              <w:rPr>
                <w:color w:val="auto"/>
                <w:szCs w:val="21"/>
              </w:rPr>
            </w:pPr>
            <w:r>
              <w:rPr>
                <w:color w:val="auto"/>
                <w:szCs w:val="21"/>
              </w:rPr>
              <w:t>胶渣</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危险废物</w:t>
            </w:r>
          </w:p>
          <w:p>
            <w:pPr>
              <w:pStyle w:val="44"/>
              <w:rPr>
                <w:color w:val="auto"/>
                <w:szCs w:val="21"/>
              </w:rPr>
            </w:pPr>
            <w:r>
              <w:rPr>
                <w:color w:val="auto"/>
                <w:szCs w:val="21"/>
              </w:rPr>
              <w:t>900-014-13</w:t>
            </w:r>
          </w:p>
        </w:tc>
        <w:tc>
          <w:tcPr>
            <w:tcW w:w="475" w:type="pct"/>
            <w:vAlign w:val="center"/>
          </w:tcPr>
          <w:p>
            <w:pPr>
              <w:pStyle w:val="44"/>
              <w:rPr>
                <w:color w:val="auto"/>
                <w:szCs w:val="21"/>
              </w:rPr>
            </w:pPr>
            <w:r>
              <w:rPr>
                <w:color w:val="auto"/>
                <w:szCs w:val="21"/>
              </w:rPr>
              <w:t>0.6</w:t>
            </w:r>
          </w:p>
        </w:tc>
        <w:tc>
          <w:tcPr>
            <w:tcW w:w="1093" w:type="pct"/>
            <w:vMerge w:val="continue"/>
            <w:vAlign w:val="center"/>
          </w:tcPr>
          <w:p>
            <w:pPr>
              <w:pStyle w:val="44"/>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5</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废胶水</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生产过程</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液态</w:t>
            </w:r>
          </w:p>
        </w:tc>
        <w:tc>
          <w:tcPr>
            <w:tcW w:w="670" w:type="pct"/>
            <w:vAlign w:val="center"/>
          </w:tcPr>
          <w:p>
            <w:pPr>
              <w:pStyle w:val="44"/>
              <w:rPr>
                <w:color w:val="auto"/>
                <w:szCs w:val="21"/>
              </w:rPr>
            </w:pPr>
            <w:r>
              <w:rPr>
                <w:color w:val="auto"/>
                <w:szCs w:val="21"/>
              </w:rPr>
              <w:t>胶水</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危险废物</w:t>
            </w:r>
          </w:p>
          <w:p>
            <w:pPr>
              <w:pStyle w:val="44"/>
              <w:rPr>
                <w:color w:val="auto"/>
                <w:szCs w:val="21"/>
              </w:rPr>
            </w:pPr>
            <w:r>
              <w:rPr>
                <w:color w:val="auto"/>
                <w:szCs w:val="21"/>
              </w:rPr>
              <w:t>900-014-13</w:t>
            </w:r>
          </w:p>
        </w:tc>
        <w:tc>
          <w:tcPr>
            <w:tcW w:w="475" w:type="pct"/>
            <w:vAlign w:val="center"/>
          </w:tcPr>
          <w:p>
            <w:pPr>
              <w:pStyle w:val="44"/>
              <w:rPr>
                <w:bCs w:val="0"/>
                <w:color w:val="auto"/>
                <w:szCs w:val="21"/>
              </w:rPr>
            </w:pPr>
            <w:r>
              <w:rPr>
                <w:bCs w:val="0"/>
                <w:color w:val="auto"/>
                <w:szCs w:val="21"/>
              </w:rPr>
              <w:t>3.4</w:t>
            </w:r>
          </w:p>
        </w:tc>
        <w:tc>
          <w:tcPr>
            <w:tcW w:w="1093" w:type="pct"/>
            <w:vMerge w:val="continue"/>
            <w:vAlign w:val="center"/>
          </w:tcPr>
          <w:p>
            <w:pPr>
              <w:pStyle w:val="44"/>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6</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废抹布</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生产过程</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固态</w:t>
            </w:r>
          </w:p>
        </w:tc>
        <w:tc>
          <w:tcPr>
            <w:tcW w:w="670" w:type="pct"/>
            <w:vAlign w:val="center"/>
          </w:tcPr>
          <w:p>
            <w:pPr>
              <w:pStyle w:val="44"/>
              <w:rPr>
                <w:color w:val="auto"/>
                <w:szCs w:val="21"/>
              </w:rPr>
            </w:pPr>
            <w:r>
              <w:rPr>
                <w:color w:val="auto"/>
                <w:szCs w:val="21"/>
              </w:rPr>
              <w:t>胶水、纤维</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危险废物</w:t>
            </w:r>
          </w:p>
          <w:p>
            <w:pPr>
              <w:pStyle w:val="44"/>
              <w:rPr>
                <w:color w:val="auto"/>
                <w:szCs w:val="21"/>
              </w:rPr>
            </w:pPr>
            <w:r>
              <w:rPr>
                <w:color w:val="auto"/>
                <w:szCs w:val="21"/>
              </w:rPr>
              <w:t>900-041-49</w:t>
            </w:r>
          </w:p>
        </w:tc>
        <w:tc>
          <w:tcPr>
            <w:tcW w:w="475" w:type="pct"/>
            <w:vAlign w:val="center"/>
          </w:tcPr>
          <w:p>
            <w:pPr>
              <w:pStyle w:val="44"/>
              <w:rPr>
                <w:bCs w:val="0"/>
                <w:color w:val="auto"/>
                <w:szCs w:val="21"/>
              </w:rPr>
            </w:pPr>
            <w:r>
              <w:rPr>
                <w:bCs w:val="0"/>
                <w:color w:val="auto"/>
                <w:szCs w:val="21"/>
              </w:rPr>
              <w:t>0.1</w:t>
            </w:r>
          </w:p>
        </w:tc>
        <w:tc>
          <w:tcPr>
            <w:tcW w:w="1093" w:type="pct"/>
            <w:vMerge w:val="continue"/>
            <w:vAlign w:val="center"/>
          </w:tcPr>
          <w:p>
            <w:pPr>
              <w:pStyle w:val="44"/>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7</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油泥</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污水处理</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半固态</w:t>
            </w:r>
          </w:p>
        </w:tc>
        <w:tc>
          <w:tcPr>
            <w:tcW w:w="670" w:type="pct"/>
            <w:vAlign w:val="center"/>
          </w:tcPr>
          <w:p>
            <w:pPr>
              <w:pStyle w:val="44"/>
              <w:rPr>
                <w:color w:val="auto"/>
                <w:szCs w:val="21"/>
              </w:rPr>
            </w:pPr>
            <w:r>
              <w:rPr>
                <w:color w:val="auto"/>
                <w:szCs w:val="21"/>
              </w:rPr>
              <w:t>机械油</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危险废物900-210-08</w:t>
            </w:r>
          </w:p>
        </w:tc>
        <w:tc>
          <w:tcPr>
            <w:tcW w:w="475" w:type="pct"/>
            <w:vAlign w:val="center"/>
          </w:tcPr>
          <w:p>
            <w:pPr>
              <w:pStyle w:val="44"/>
              <w:rPr>
                <w:bCs w:val="0"/>
                <w:color w:val="auto"/>
                <w:szCs w:val="21"/>
              </w:rPr>
            </w:pPr>
            <w:r>
              <w:rPr>
                <w:bCs w:val="0"/>
                <w:color w:val="auto"/>
                <w:szCs w:val="21"/>
              </w:rPr>
              <w:t>0.5</w:t>
            </w:r>
          </w:p>
        </w:tc>
        <w:tc>
          <w:tcPr>
            <w:tcW w:w="1093" w:type="pct"/>
            <w:vMerge w:val="continue"/>
            <w:vAlign w:val="center"/>
          </w:tcPr>
          <w:p>
            <w:pPr>
              <w:pStyle w:val="44"/>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8</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污泥</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污水处理</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半固态</w:t>
            </w:r>
          </w:p>
        </w:tc>
        <w:tc>
          <w:tcPr>
            <w:tcW w:w="670" w:type="pct"/>
            <w:vAlign w:val="center"/>
          </w:tcPr>
          <w:p>
            <w:pPr>
              <w:pStyle w:val="44"/>
              <w:rPr>
                <w:color w:val="auto"/>
                <w:szCs w:val="21"/>
              </w:rPr>
            </w:pPr>
            <w:r>
              <w:rPr>
                <w:color w:val="auto"/>
                <w:szCs w:val="21"/>
              </w:rPr>
              <w:t>污泥</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一般固废</w:t>
            </w:r>
          </w:p>
        </w:tc>
        <w:tc>
          <w:tcPr>
            <w:tcW w:w="475" w:type="pct"/>
            <w:vAlign w:val="center"/>
          </w:tcPr>
          <w:p>
            <w:pPr>
              <w:pStyle w:val="44"/>
              <w:rPr>
                <w:bCs w:val="0"/>
                <w:color w:val="auto"/>
                <w:szCs w:val="21"/>
              </w:rPr>
            </w:pPr>
            <w:r>
              <w:rPr>
                <w:bCs w:val="0"/>
                <w:color w:val="auto"/>
                <w:szCs w:val="21"/>
              </w:rPr>
              <w:t>9</w:t>
            </w:r>
          </w:p>
        </w:tc>
        <w:tc>
          <w:tcPr>
            <w:tcW w:w="1093" w:type="pct"/>
            <w:vAlign w:val="center"/>
          </w:tcPr>
          <w:p>
            <w:pPr>
              <w:pStyle w:val="44"/>
              <w:rPr>
                <w:color w:val="auto"/>
                <w:szCs w:val="21"/>
              </w:rPr>
            </w:pPr>
            <w:r>
              <w:rPr>
                <w:color w:val="auto"/>
                <w:szCs w:val="21"/>
              </w:rPr>
              <w:t>委托浙江景顺环保能源有限公司处置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0" w:type="pct"/>
            <w:vAlign w:val="center"/>
          </w:tcPr>
          <w:p>
            <w:pPr>
              <w:pStyle w:val="44"/>
              <w:rPr>
                <w:color w:val="auto"/>
                <w:szCs w:val="21"/>
              </w:rPr>
            </w:pPr>
            <w:r>
              <w:rPr>
                <w:color w:val="auto"/>
                <w:szCs w:val="21"/>
              </w:rPr>
              <w:t>9</w:t>
            </w:r>
          </w:p>
        </w:tc>
        <w:tc>
          <w:tcPr>
            <w:tcW w:w="573"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生活垃圾</w:t>
            </w:r>
          </w:p>
        </w:tc>
        <w:tc>
          <w:tcPr>
            <w:tcW w:w="63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职工生活</w:t>
            </w:r>
          </w:p>
        </w:tc>
        <w:tc>
          <w:tcPr>
            <w:tcW w:w="398"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固态</w:t>
            </w:r>
          </w:p>
        </w:tc>
        <w:tc>
          <w:tcPr>
            <w:tcW w:w="670" w:type="pct"/>
            <w:vAlign w:val="center"/>
          </w:tcPr>
          <w:p>
            <w:pPr>
              <w:pStyle w:val="44"/>
              <w:rPr>
                <w:color w:val="auto"/>
                <w:szCs w:val="21"/>
              </w:rPr>
            </w:pPr>
            <w:r>
              <w:rPr>
                <w:color w:val="auto"/>
                <w:szCs w:val="21"/>
              </w:rPr>
              <w:t>生活垃圾</w:t>
            </w:r>
          </w:p>
        </w:tc>
        <w:tc>
          <w:tcPr>
            <w:tcW w:w="775" w:type="pct"/>
            <w:tcBorders>
              <w:top w:val="single" w:color="auto" w:sz="4" w:space="0"/>
              <w:left w:val="single" w:color="auto" w:sz="4" w:space="0"/>
              <w:bottom w:val="single" w:color="auto" w:sz="4" w:space="0"/>
              <w:right w:val="single" w:color="auto" w:sz="4" w:space="0"/>
            </w:tcBorders>
            <w:vAlign w:val="center"/>
          </w:tcPr>
          <w:p>
            <w:pPr>
              <w:pStyle w:val="44"/>
              <w:rPr>
                <w:color w:val="auto"/>
                <w:szCs w:val="21"/>
              </w:rPr>
            </w:pPr>
            <w:r>
              <w:rPr>
                <w:color w:val="auto"/>
                <w:szCs w:val="21"/>
              </w:rPr>
              <w:t>一般固废</w:t>
            </w:r>
          </w:p>
        </w:tc>
        <w:tc>
          <w:tcPr>
            <w:tcW w:w="475" w:type="pct"/>
            <w:vAlign w:val="center"/>
          </w:tcPr>
          <w:p>
            <w:pPr>
              <w:pStyle w:val="44"/>
              <w:rPr>
                <w:color w:val="auto"/>
                <w:szCs w:val="21"/>
              </w:rPr>
            </w:pPr>
            <w:r>
              <w:rPr>
                <w:bCs w:val="0"/>
                <w:color w:val="auto"/>
                <w:szCs w:val="21"/>
              </w:rPr>
              <w:t>6.0</w:t>
            </w:r>
          </w:p>
        </w:tc>
        <w:tc>
          <w:tcPr>
            <w:tcW w:w="1093" w:type="pct"/>
            <w:vAlign w:val="center"/>
          </w:tcPr>
          <w:p>
            <w:pPr>
              <w:pStyle w:val="44"/>
              <w:rPr>
                <w:color w:val="auto"/>
                <w:szCs w:val="21"/>
              </w:rPr>
            </w:pPr>
            <w:r>
              <w:rPr>
                <w:color w:val="auto"/>
                <w:szCs w:val="21"/>
              </w:rPr>
              <w:t>委托环卫部门统一清运</w:t>
            </w:r>
          </w:p>
        </w:tc>
      </w:tr>
    </w:tbl>
    <w:p>
      <w:pPr>
        <w:pStyle w:val="6"/>
        <w:spacing w:before="156" w:beforeLines="50"/>
      </w:pPr>
      <w:bookmarkStart w:id="51" w:name="_Toc81808391"/>
      <w:bookmarkStart w:id="52" w:name="_Toc81808503"/>
      <w:r>
        <w:rPr>
          <w:rFonts w:hint="eastAsia"/>
        </w:rPr>
        <w:t>4</w:t>
      </w:r>
      <w:r>
        <w:t>.1.5</w:t>
      </w:r>
      <w:r>
        <w:rPr>
          <w:rFonts w:hint="eastAsia"/>
        </w:rPr>
        <w:t>排污许可证管理制度</w:t>
      </w:r>
      <w:bookmarkEnd w:id="51"/>
      <w:bookmarkEnd w:id="52"/>
    </w:p>
    <w:p>
      <w:pPr>
        <w:ind w:firstLine="480"/>
        <w:rPr>
          <w:color w:val="FF0000"/>
        </w:rPr>
      </w:pPr>
      <w:r>
        <w:rPr>
          <w:rFonts w:hint="eastAsia"/>
        </w:rPr>
        <w:t>根据《国务院办公厅关于印发控制污染物排放许可制实施方案的通知》、《排污许可管理条例》（国务院令第7</w:t>
      </w:r>
      <w:r>
        <w:t>36</w:t>
      </w:r>
      <w:r>
        <w:rPr>
          <w:rFonts w:hint="eastAsia"/>
        </w:rPr>
        <w:t>号）、生态环境部办公厅《关于做好固定污染源排污许可清理整顿和2020年排污许可发证登记工作的通知》（环办环评函[2019]939号）和浙江省关于固定污染源排污许可清理整顿和2020年排污许可发证登记的相关工作要求。</w:t>
      </w:r>
      <w:r>
        <w:rPr>
          <w:rFonts w:hint="eastAsia"/>
          <w:color w:val="FF0000"/>
        </w:rPr>
        <w:t>我公司已申领排污许可证，证书编号为：9</w:t>
      </w:r>
      <w:r>
        <w:rPr>
          <w:color w:val="FF0000"/>
        </w:rPr>
        <w:t>1330483MA2CYYAR4E001P</w:t>
      </w:r>
      <w:r>
        <w:rPr>
          <w:rFonts w:hint="eastAsia"/>
          <w:color w:val="FF0000"/>
        </w:rPr>
        <w:t>。本项目实施后，污染物排放信息与排污许可证相一致。</w:t>
      </w:r>
    </w:p>
    <w:p>
      <w:pPr>
        <w:pStyle w:val="6"/>
      </w:pPr>
      <w:bookmarkStart w:id="53" w:name="_Toc81808504"/>
      <w:bookmarkStart w:id="54" w:name="_Toc81808392"/>
      <w:bookmarkStart w:id="55" w:name="_Hlk81902996"/>
      <w:r>
        <w:rPr>
          <w:rFonts w:hint="eastAsia"/>
        </w:rPr>
        <w:t>4</w:t>
      </w:r>
      <w:r>
        <w:t>.1.6</w:t>
      </w:r>
      <w:r>
        <w:rPr>
          <w:rFonts w:hint="eastAsia"/>
        </w:rPr>
        <w:t>卫生防护距离落实情况</w:t>
      </w:r>
      <w:bookmarkEnd w:id="53"/>
      <w:bookmarkEnd w:id="54"/>
    </w:p>
    <w:p>
      <w:pPr>
        <w:ind w:firstLine="480"/>
      </w:pPr>
      <w:r>
        <w:rPr>
          <w:rFonts w:hint="eastAsia"/>
        </w:rPr>
        <w:t>根据环评相关要求，本项目生产车间需设置100m卫生防护距离。根据现场勘查，本项目生产车间100米卫生防护距离范围内不存在大气环境敏感点，满足卫生防护距离的要求。</w:t>
      </w:r>
    </w:p>
    <w:bookmarkEnd w:id="55"/>
    <w:p>
      <w:pPr>
        <w:pStyle w:val="5"/>
      </w:pPr>
      <w:bookmarkStart w:id="56" w:name="_Toc81808505"/>
      <w:r>
        <w:t>4.</w:t>
      </w:r>
      <w:r>
        <w:rPr>
          <w:rFonts w:hint="eastAsia"/>
        </w:rPr>
        <w:t>2</w:t>
      </w:r>
      <w:r>
        <w:t>环保设施投资及</w:t>
      </w:r>
      <w:r>
        <w:rPr>
          <w:rFonts w:asciiTheme="minorEastAsia" w:hAnsiTheme="minorEastAsia" w:eastAsiaTheme="minorEastAsia"/>
        </w:rPr>
        <w:t>“三同时”</w:t>
      </w:r>
      <w:r>
        <w:t>落实情况</w:t>
      </w:r>
      <w:bookmarkEnd w:id="56"/>
    </w:p>
    <w:p>
      <w:pPr>
        <w:ind w:firstLine="480"/>
      </w:pPr>
      <w:r>
        <w:t>本项目</w:t>
      </w:r>
      <w:r>
        <w:rPr>
          <w:rFonts w:hint="eastAsia"/>
        </w:rPr>
        <w:t>目前</w:t>
      </w:r>
      <w:r>
        <w:t>实际投资2890万元，其中环保投资142万元，占总投资额4.91%。具体环保投资明细见表4-</w:t>
      </w:r>
      <w:r>
        <w:rPr>
          <w:rFonts w:hint="eastAsia"/>
        </w:rPr>
        <w:t>4</w:t>
      </w:r>
      <w:r>
        <w:t>。</w:t>
      </w:r>
    </w:p>
    <w:p>
      <w:pPr>
        <w:pStyle w:val="39"/>
        <w:spacing w:before="62" w:after="31"/>
        <w:rPr>
          <w:color w:val="auto"/>
        </w:rPr>
      </w:pPr>
      <w:r>
        <w:rPr>
          <w:color w:val="auto"/>
        </w:rPr>
        <w:t>表4-</w:t>
      </w:r>
      <w:r>
        <w:rPr>
          <w:rFonts w:hint="eastAsia"/>
          <w:color w:val="auto"/>
        </w:rPr>
        <w:t>4</w:t>
      </w:r>
      <w:r>
        <w:rPr>
          <w:color w:val="auto"/>
        </w:rPr>
        <w:t xml:space="preserve">  环保投资费用一览表（单位：万元）</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4473"/>
        <w:gridCol w:w="1134"/>
        <w:gridCol w:w="1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48"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污染源</w:t>
            </w:r>
          </w:p>
        </w:tc>
        <w:tc>
          <w:tcPr>
            <w:tcW w:w="2565"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内容</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投资</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环保效益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48"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废水</w:t>
            </w:r>
          </w:p>
        </w:tc>
        <w:tc>
          <w:tcPr>
            <w:tcW w:w="2565" w:type="pct"/>
            <w:vAlign w:val="center"/>
          </w:tcPr>
          <w:p>
            <w:pPr>
              <w:pStyle w:val="43"/>
              <w:rPr>
                <w:b/>
                <w:bCs/>
                <w:color w:val="auto"/>
              </w:rPr>
            </w:pPr>
            <w:r>
              <w:rPr>
                <w:rFonts w:hint="eastAsia"/>
                <w:color w:val="auto"/>
              </w:rPr>
              <w:t>新建污水处理设施</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47</w:t>
            </w:r>
            <w:r>
              <w:rPr>
                <w:rFonts w:hint="eastAsia"/>
                <w:color w:val="auto"/>
              </w:rPr>
              <w:t>万元</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废水达标入网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48"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color w:val="auto"/>
              </w:rPr>
              <w:t>废气</w:t>
            </w:r>
          </w:p>
        </w:tc>
        <w:tc>
          <w:tcPr>
            <w:tcW w:w="2565" w:type="pct"/>
            <w:vAlign w:val="center"/>
          </w:tcPr>
          <w:p>
            <w:pPr>
              <w:pStyle w:val="43"/>
              <w:jc w:val="left"/>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color w:val="auto"/>
              </w:rPr>
              <w:t>1套二级水喷淋</w:t>
            </w:r>
            <w:r>
              <w:rPr>
                <w:rFonts w:hint="eastAsia"/>
                <w:color w:val="auto"/>
              </w:rPr>
              <w:t>+除湿装置+活性炭吸附装置；</w:t>
            </w:r>
          </w:p>
          <w:p>
            <w:pPr>
              <w:pStyle w:val="43"/>
              <w:jc w:val="left"/>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color w:val="auto"/>
              </w:rPr>
              <w:t>1套二级水喷淋</w:t>
            </w:r>
            <w:r>
              <w:rPr>
                <w:rFonts w:hint="eastAsia"/>
                <w:color w:val="auto"/>
              </w:rPr>
              <w:t>+除湿装置+高压静电+光催化氧化（除臭）装置；</w:t>
            </w:r>
          </w:p>
          <w:p>
            <w:pPr>
              <w:pStyle w:val="43"/>
              <w:jc w:val="left"/>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color w:val="auto"/>
              </w:rPr>
              <w:t>车间废气收集</w:t>
            </w:r>
            <w:r>
              <w:rPr>
                <w:rFonts w:hint="eastAsia"/>
                <w:color w:val="auto"/>
              </w:rPr>
              <w:t>、</w:t>
            </w:r>
            <w:r>
              <w:rPr>
                <w:color w:val="auto"/>
              </w:rPr>
              <w:t>换气装置</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color w:val="auto"/>
              </w:rPr>
              <w:t>77</w:t>
            </w:r>
            <w:r>
              <w:rPr>
                <w:rFonts w:hint="eastAsia"/>
                <w:color w:val="auto"/>
              </w:rPr>
              <w:t>万元</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color w:val="auto"/>
              </w:rPr>
              <w:t>废气达标排放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48"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噪声</w:t>
            </w:r>
          </w:p>
        </w:tc>
        <w:tc>
          <w:tcPr>
            <w:tcW w:w="256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减震垫、隔声罩、消音器等</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3</w:t>
            </w:r>
            <w:r>
              <w:rPr>
                <w:rFonts w:hint="eastAsia"/>
                <w:color w:val="auto"/>
              </w:rPr>
              <w:t>万元</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噪声达标排放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48"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固废</w:t>
            </w:r>
          </w:p>
        </w:tc>
        <w:tc>
          <w:tcPr>
            <w:tcW w:w="256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建设一般固废仓库、危废仓库、固废处置、危废处置</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1</w:t>
            </w:r>
            <w:r>
              <w:rPr>
                <w:color w:val="auto"/>
              </w:rPr>
              <w:t>0</w:t>
            </w:r>
            <w:r>
              <w:rPr>
                <w:rFonts w:hint="eastAsia"/>
                <w:color w:val="auto"/>
              </w:rPr>
              <w:t>万元</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固废安全处置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48"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风险</w:t>
            </w:r>
          </w:p>
        </w:tc>
        <w:tc>
          <w:tcPr>
            <w:tcW w:w="2565"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事故应急池的建设</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5</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风险防控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31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总计</w:t>
            </w:r>
          </w:p>
        </w:tc>
        <w:tc>
          <w:tcPr>
            <w:tcW w:w="650"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142</w:t>
            </w:r>
            <w:r>
              <w:rPr>
                <w:rFonts w:hint="eastAsia"/>
                <w:color w:val="auto"/>
              </w:rPr>
              <w:t>万元</w:t>
            </w:r>
          </w:p>
        </w:tc>
        <w:tc>
          <w:tcPr>
            <w:tcW w:w="103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w:t>
            </w:r>
          </w:p>
        </w:tc>
      </w:tr>
    </w:tbl>
    <w:p>
      <w:pPr>
        <w:spacing w:before="156" w:beforeLines="50"/>
        <w:ind w:firstLine="480"/>
      </w:pPr>
      <w:r>
        <w:t>本项目</w:t>
      </w:r>
      <w:r>
        <w:rPr>
          <w:rFonts w:ascii="宋体" w:hAnsi="宋体" w:eastAsia="宋体"/>
        </w:rPr>
        <w:t>“三同时”</w:t>
      </w:r>
      <w:r>
        <w:t>落实情况见表4-</w:t>
      </w:r>
      <w:r>
        <w:rPr>
          <w:rFonts w:hint="eastAsia"/>
        </w:rPr>
        <w:t>5</w:t>
      </w:r>
      <w:r>
        <w:t>。</w:t>
      </w:r>
    </w:p>
    <w:p>
      <w:pPr>
        <w:pStyle w:val="39"/>
        <w:spacing w:before="62" w:after="31"/>
        <w:rPr>
          <w:color w:val="auto"/>
        </w:rPr>
      </w:pPr>
    </w:p>
    <w:p>
      <w:pPr>
        <w:pStyle w:val="39"/>
        <w:spacing w:before="62" w:after="31"/>
        <w:rPr>
          <w:color w:val="auto"/>
        </w:rPr>
      </w:pPr>
    </w:p>
    <w:p>
      <w:pPr>
        <w:pStyle w:val="39"/>
        <w:spacing w:before="62" w:after="31"/>
        <w:rPr>
          <w:color w:val="auto"/>
        </w:rPr>
      </w:pPr>
    </w:p>
    <w:p>
      <w:pPr>
        <w:pStyle w:val="39"/>
        <w:spacing w:before="62" w:after="31"/>
        <w:rPr>
          <w:color w:val="auto"/>
        </w:rPr>
      </w:pPr>
    </w:p>
    <w:p>
      <w:pPr>
        <w:pStyle w:val="39"/>
        <w:spacing w:before="62" w:after="31"/>
        <w:rPr>
          <w:color w:val="auto"/>
        </w:rPr>
      </w:pPr>
    </w:p>
    <w:p>
      <w:pPr>
        <w:pStyle w:val="39"/>
        <w:spacing w:before="62" w:after="31"/>
        <w:rPr>
          <w:color w:val="auto"/>
        </w:rPr>
      </w:pPr>
      <w:r>
        <w:rPr>
          <w:color w:val="auto"/>
        </w:rPr>
        <w:t>表4-</w:t>
      </w:r>
      <w:r>
        <w:rPr>
          <w:rFonts w:hint="eastAsia"/>
          <w:color w:val="auto"/>
        </w:rPr>
        <w:t>5</w:t>
      </w:r>
      <w:r>
        <w:rPr>
          <w:color w:val="auto"/>
        </w:rPr>
        <w:t xml:space="preserve">  “三同时”落实情况一览表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4219"/>
        <w:gridCol w:w="3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44"/>
              <w:rPr>
                <w:b/>
                <w:bCs w:val="0"/>
                <w:color w:val="auto"/>
              </w:rPr>
            </w:pPr>
            <w:r>
              <w:rPr>
                <w:b/>
                <w:bCs w:val="0"/>
                <w:color w:val="auto"/>
              </w:rPr>
              <w:t>类别</w:t>
            </w:r>
          </w:p>
        </w:tc>
        <w:tc>
          <w:tcPr>
            <w:tcW w:w="2419" w:type="pct"/>
            <w:vAlign w:val="center"/>
          </w:tcPr>
          <w:p>
            <w:pPr>
              <w:pStyle w:val="44"/>
              <w:rPr>
                <w:b/>
                <w:bCs w:val="0"/>
                <w:color w:val="auto"/>
              </w:rPr>
            </w:pPr>
            <w:r>
              <w:rPr>
                <w:b/>
                <w:bCs w:val="0"/>
                <w:color w:val="auto"/>
              </w:rPr>
              <w:t>环评要求</w:t>
            </w:r>
          </w:p>
        </w:tc>
        <w:tc>
          <w:tcPr>
            <w:tcW w:w="2166" w:type="pct"/>
            <w:vAlign w:val="center"/>
          </w:tcPr>
          <w:p>
            <w:pPr>
              <w:pStyle w:val="44"/>
              <w:rPr>
                <w:b/>
                <w:bCs w:val="0"/>
                <w:color w:val="auto"/>
              </w:rPr>
            </w:pPr>
            <w:r>
              <w:rPr>
                <w:b/>
                <w:bCs w:val="0"/>
                <w:color w:val="auto"/>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6" w:hRule="atLeast"/>
        </w:trPr>
        <w:tc>
          <w:tcPr>
            <w:tcW w:w="415" w:type="pct"/>
            <w:vAlign w:val="center"/>
          </w:tcPr>
          <w:p>
            <w:pPr>
              <w:pStyle w:val="44"/>
              <w:rPr>
                <w:color w:val="auto"/>
              </w:rPr>
            </w:pPr>
            <w:r>
              <w:rPr>
                <w:color w:val="auto"/>
              </w:rPr>
              <w:t>废水</w:t>
            </w:r>
          </w:p>
        </w:tc>
        <w:tc>
          <w:tcPr>
            <w:tcW w:w="2419" w:type="pct"/>
            <w:vAlign w:val="center"/>
          </w:tcPr>
          <w:p>
            <w:pPr>
              <w:pStyle w:val="44"/>
              <w:rPr>
                <w:color w:val="auto"/>
              </w:rPr>
            </w:pPr>
            <w:r>
              <w:rPr>
                <w:rFonts w:hint="eastAsia"/>
                <w:color w:val="auto"/>
              </w:rPr>
              <w:t>实行清污分流、雨污分流；本项目生产废水主要为废气处理的喷淋废水、印刷版清洗废水、调浆容器清洗废水。本项目生产废水和生活污水经厂区污水处理站处理后纳入园区污水管网，最终由桐乡市城市污水处理有限责任公司处理达标后排放。废水纳管标准执行《纺织染整工业水污染物排放标准》(GB4287-2012)及其修改单（环保部公告2015年第19号），以及《关于&lt;纺织染整工业水污染物排放标准&gt;(GB4287-2012)部分指标执行要求的公告》（环保部公告2015年第41号）中相应的排放限值。</w:t>
            </w:r>
          </w:p>
        </w:tc>
        <w:tc>
          <w:tcPr>
            <w:tcW w:w="2166" w:type="pct"/>
            <w:vAlign w:val="center"/>
          </w:tcPr>
          <w:p>
            <w:pPr>
              <w:pStyle w:val="44"/>
              <w:jc w:val="both"/>
              <w:rPr>
                <w:color w:val="auto"/>
              </w:rPr>
            </w:pPr>
            <w:r>
              <w:rPr>
                <w:color w:val="auto"/>
              </w:rPr>
              <w:t>已落实。</w:t>
            </w:r>
          </w:p>
          <w:p>
            <w:pPr>
              <w:pStyle w:val="44"/>
              <w:jc w:val="both"/>
              <w:rPr>
                <w:color w:val="auto"/>
              </w:rPr>
            </w:pPr>
            <w:r>
              <w:rPr>
                <w:rFonts w:hint="eastAsia"/>
                <w:color w:val="auto"/>
              </w:rPr>
              <w:t>公司实行清污分流、雨污分流。雨水经厂区雨水管道收集后排入雨水管网。</w:t>
            </w:r>
          </w:p>
          <w:p>
            <w:pPr>
              <w:pStyle w:val="44"/>
              <w:jc w:val="both"/>
              <w:rPr>
                <w:color w:val="auto"/>
              </w:rPr>
            </w:pPr>
            <w:r>
              <w:rPr>
                <w:rFonts w:hint="eastAsia"/>
                <w:color w:val="auto"/>
              </w:rPr>
              <w:t>整经织造、烫金、转移印花生产工序暂未实施，本项目已实施部分生产废水主要为废气处理的喷淋废水、调浆容器清洗废水。生产废水、生活污水经厂区污水处理站处理后达到《纺织染整工业水污染物排放标准》(GB4287-2012)及其修改单（环保部公告2015年第19号），以及《关于&lt;纺织染整工业水污染物排放标准&gt;(GB4287-2012)部分指标执行要求的公告》（环保部公告2015年第41号）中相应的排放限值后排放钱塘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44"/>
              <w:rPr>
                <w:color w:val="auto"/>
              </w:rPr>
            </w:pPr>
            <w:r>
              <w:rPr>
                <w:color w:val="auto"/>
              </w:rPr>
              <w:t>废气</w:t>
            </w:r>
          </w:p>
        </w:tc>
        <w:tc>
          <w:tcPr>
            <w:tcW w:w="2419" w:type="pct"/>
            <w:vAlign w:val="center"/>
          </w:tcPr>
          <w:p>
            <w:pPr>
              <w:pStyle w:val="44"/>
              <w:rPr>
                <w:color w:val="auto"/>
              </w:rPr>
            </w:pPr>
            <w:r>
              <w:rPr>
                <w:rFonts w:hint="eastAsia"/>
                <w:color w:val="auto"/>
              </w:rPr>
              <w:t>本项目废气主要为复合废气、烫金废气、印刷废气、转移印花废气、涂层废气、天然气燃烧废气和恶臭等。复合废气、烫金废气、印刷废气收集后采用二级水喷淋+除湿装置+活性炭吸附装置处理后通过排气筒高空排放；转移印花废气收集后采用水喷淋+除湿装置+高压静电装置处理后通过排气筒高空</w:t>
            </w:r>
          </w:p>
          <w:p>
            <w:pPr>
              <w:pStyle w:val="44"/>
              <w:rPr>
                <w:color w:val="auto"/>
              </w:rPr>
            </w:pPr>
            <w:r>
              <w:rPr>
                <w:rFonts w:hint="eastAsia"/>
                <w:color w:val="auto"/>
              </w:rPr>
              <w:t>排放；涂层废气收集后采用二级水喷淋+除湿装置+光催化氧化（除臭）处理后通过排气筒高空排放；天然气燃烧废气通过涂层</w:t>
            </w:r>
          </w:p>
          <w:p>
            <w:pPr>
              <w:pStyle w:val="44"/>
              <w:rPr>
                <w:color w:val="auto"/>
              </w:rPr>
            </w:pPr>
            <w:r>
              <w:rPr>
                <w:rFonts w:hint="eastAsia"/>
                <w:color w:val="auto"/>
              </w:rPr>
              <w:t>机烘箱上吸风管收集后和涂层废气一道通过排气筒高空排放。废气排放标准执行《纺织染整工业大气污染物排放标准》（DB33/962-2015）、《挥发性有机物无组织排放控制标准》（GB37822-2019）、《工业炉窑大气污染综合治理方案》(环大气[2019]56号)、《关于印发浙江省工业炉窑大气污染物综合治理实施方案的通知》（浙环函[2019]315号）中相应的排放限值。本项目无须设置大气防护距离，其它各类防护距离要求请业主、当地政府和有关部门按国家卫生、安全、产业等主管部门相关规定予以落实。</w:t>
            </w:r>
          </w:p>
        </w:tc>
        <w:tc>
          <w:tcPr>
            <w:tcW w:w="2166" w:type="pct"/>
            <w:vAlign w:val="center"/>
          </w:tcPr>
          <w:p>
            <w:pPr>
              <w:pStyle w:val="44"/>
              <w:jc w:val="both"/>
              <w:rPr>
                <w:color w:val="auto"/>
              </w:rPr>
            </w:pPr>
            <w:r>
              <w:rPr>
                <w:color w:val="auto"/>
              </w:rPr>
              <w:t>已落实。</w:t>
            </w:r>
          </w:p>
          <w:p>
            <w:pPr>
              <w:pStyle w:val="44"/>
              <w:jc w:val="both"/>
              <w:rPr>
                <w:color w:val="auto"/>
              </w:rPr>
            </w:pPr>
            <w:r>
              <w:rPr>
                <w:rFonts w:hint="eastAsia"/>
                <w:color w:val="auto"/>
              </w:rPr>
              <w:t>公司整经织造、烫金、转移印花生产工序暂未实施。本项目已实施部分在生产过程中产生的废气主要为复合废气、涂层废气、天然气燃烧产生的燃气废气、调浆废气以及恶臭。</w:t>
            </w:r>
          </w:p>
          <w:p>
            <w:pPr>
              <w:pStyle w:val="44"/>
              <w:jc w:val="both"/>
              <w:rPr>
                <w:color w:val="auto"/>
              </w:rPr>
            </w:pPr>
            <w:r>
              <w:rPr>
                <w:rFonts w:hint="eastAsia"/>
                <w:color w:val="auto"/>
              </w:rPr>
              <w:t>复合废气经集气罩收集后送至“二级水喷淋+除湿装置+活性炭吸附”处理工艺处理后，通过3</w:t>
            </w:r>
            <w:r>
              <w:rPr>
                <w:color w:val="auto"/>
              </w:rPr>
              <w:t>0m高排气筒排放</w:t>
            </w:r>
            <w:r>
              <w:rPr>
                <w:rFonts w:hint="eastAsia"/>
                <w:color w:val="auto"/>
              </w:rPr>
              <w:t>；</w:t>
            </w:r>
            <w:r>
              <w:rPr>
                <w:color w:val="auto"/>
              </w:rPr>
              <w:t>涂层废气经风管集中收集后送至</w:t>
            </w:r>
            <w:r>
              <w:rPr>
                <w:rFonts w:hint="eastAsia"/>
                <w:color w:val="auto"/>
              </w:rPr>
              <w:t>“二级水喷淋+除湿装置+高压静电+光催化氧化</w:t>
            </w:r>
            <w:r>
              <w:rPr>
                <w:color w:val="auto"/>
              </w:rPr>
              <w:br w:type="textWrapping"/>
            </w:r>
            <w:r>
              <w:rPr>
                <w:rFonts w:hint="eastAsia"/>
                <w:color w:val="auto"/>
              </w:rPr>
              <w:t>（除臭）”处理工艺处理后，通过3</w:t>
            </w:r>
            <w:r>
              <w:rPr>
                <w:color w:val="auto"/>
              </w:rPr>
              <w:t>0m高排气筒排放</w:t>
            </w:r>
            <w:r>
              <w:rPr>
                <w:rFonts w:hint="eastAsia"/>
                <w:color w:val="auto"/>
              </w:rPr>
              <w:t>；天然气燃烧废气收集收集后与涂层废气一同经</w:t>
            </w:r>
            <w:r>
              <w:rPr>
                <w:color w:val="auto"/>
              </w:rPr>
              <w:t>30</w:t>
            </w:r>
            <w:r>
              <w:rPr>
                <w:rFonts w:hint="eastAsia"/>
                <w:color w:val="auto"/>
              </w:rPr>
              <w:t>m高排气筒排放；调浆工序在密闭车间内进行，产生少量废气无组织排放；污水站进行密闭加盖处理，产生的少量恶臭无组织排放。</w:t>
            </w:r>
          </w:p>
          <w:p>
            <w:pPr>
              <w:pStyle w:val="44"/>
              <w:jc w:val="both"/>
              <w:rPr>
                <w:color w:val="auto"/>
              </w:rPr>
            </w:pPr>
            <w:r>
              <w:rPr>
                <w:color w:val="auto"/>
              </w:rPr>
              <w:t>公司卫生防护距离为</w:t>
            </w:r>
            <w:r>
              <w:rPr>
                <w:rFonts w:hint="eastAsia"/>
                <w:color w:val="auto"/>
              </w:rPr>
              <w:t>1</w:t>
            </w:r>
            <w:r>
              <w:rPr>
                <w:color w:val="auto"/>
              </w:rPr>
              <w:t>00m卫生防护距离内无居民</w:t>
            </w:r>
            <w:r>
              <w:rPr>
                <w:rFonts w:hint="eastAsia"/>
                <w:color w:val="auto"/>
              </w:rPr>
              <w:t>、</w:t>
            </w:r>
            <w:r>
              <w:rPr>
                <w:color w:val="auto"/>
              </w:rPr>
              <w:t>学校</w:t>
            </w:r>
            <w:r>
              <w:rPr>
                <w:rFonts w:hint="eastAsia"/>
                <w:color w:val="auto"/>
              </w:rPr>
              <w:t>、</w:t>
            </w:r>
            <w:r>
              <w:rPr>
                <w:color w:val="auto"/>
              </w:rPr>
              <w:t>医院等大气敏感目标</w:t>
            </w:r>
            <w:r>
              <w:rPr>
                <w:rFonts w:hint="eastAsia"/>
                <w:color w:val="auto"/>
              </w:rPr>
              <w:t>，</w:t>
            </w:r>
            <w:r>
              <w:rPr>
                <w:color w:val="auto"/>
              </w:rPr>
              <w:t>满足卫生防护距离控制要求</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44"/>
              <w:rPr>
                <w:color w:val="auto"/>
              </w:rPr>
            </w:pPr>
            <w:r>
              <w:rPr>
                <w:rFonts w:hint="eastAsia"/>
                <w:color w:val="auto"/>
              </w:rPr>
              <w:t>噪声</w:t>
            </w:r>
          </w:p>
        </w:tc>
        <w:tc>
          <w:tcPr>
            <w:tcW w:w="2419" w:type="pct"/>
            <w:vAlign w:val="center"/>
          </w:tcPr>
          <w:p>
            <w:pPr>
              <w:pStyle w:val="44"/>
              <w:jc w:val="both"/>
              <w:rPr>
                <w:color w:val="auto"/>
              </w:rPr>
            </w:pPr>
            <w:r>
              <w:rPr>
                <w:rFonts w:hint="eastAsia"/>
                <w:color w:val="auto"/>
              </w:rPr>
              <w:t>厂区建设应合理布局，选择低噪声设备，加强设备隔声降噪处理，加强维修保养措施。营运期厂界噪声排放执行GB12348-2008《工业企业厂界环境噪声排放标准》中的3类标准。</w:t>
            </w:r>
          </w:p>
        </w:tc>
        <w:tc>
          <w:tcPr>
            <w:tcW w:w="2166" w:type="pct"/>
            <w:vAlign w:val="center"/>
          </w:tcPr>
          <w:p>
            <w:pPr>
              <w:pStyle w:val="44"/>
              <w:jc w:val="both"/>
              <w:rPr>
                <w:color w:val="auto"/>
              </w:rPr>
            </w:pPr>
            <w:r>
              <w:rPr>
                <w:rFonts w:hint="eastAsia"/>
                <w:color w:val="auto"/>
              </w:rPr>
              <w:t>已落实。</w:t>
            </w:r>
          </w:p>
          <w:p>
            <w:pPr>
              <w:pStyle w:val="44"/>
              <w:jc w:val="both"/>
              <w:rPr>
                <w:color w:val="auto"/>
              </w:rPr>
            </w:pPr>
            <w:r>
              <w:rPr>
                <w:rFonts w:hint="eastAsia"/>
                <w:color w:val="auto"/>
              </w:rPr>
              <w:t>公司已通过选用低噪声型设备，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从而使噪声最大限度地随距离自然衰减。</w:t>
            </w:r>
          </w:p>
          <w:p>
            <w:pPr>
              <w:pStyle w:val="44"/>
              <w:jc w:val="both"/>
              <w:rPr>
                <w:color w:val="auto"/>
              </w:rPr>
            </w:pPr>
            <w:r>
              <w:rPr>
                <w:rFonts w:hint="eastAsia"/>
                <w:color w:val="auto"/>
              </w:rPr>
              <w:t>本项目在采取环评要求的噪声冶理措施后，噪声对周围环境的影响不大，厂界噪声满足GB12348-2008《工业企业厂界环境噪声排放标准》中的3类标准。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44"/>
              <w:rPr>
                <w:color w:val="auto"/>
              </w:rPr>
            </w:pPr>
            <w:r>
              <w:rPr>
                <w:rFonts w:hint="eastAsia"/>
                <w:color w:val="auto"/>
              </w:rPr>
              <w:t>固废</w:t>
            </w:r>
          </w:p>
        </w:tc>
        <w:tc>
          <w:tcPr>
            <w:tcW w:w="2419" w:type="pct"/>
            <w:vAlign w:val="center"/>
          </w:tcPr>
          <w:p>
            <w:pPr>
              <w:pStyle w:val="44"/>
              <w:jc w:val="both"/>
              <w:rPr>
                <w:color w:val="auto"/>
              </w:rPr>
            </w:pPr>
            <w:r>
              <w:rPr>
                <w:rFonts w:hint="eastAsia"/>
                <w:color w:val="auto"/>
              </w:rPr>
              <w:t>项目产生的固体废弃物应按危险废物和一般废物进行分类、分质处置，按照“资源化、减量化、无害化”原则，提高资源综合利用率。破损废包装桶、废活性炭、废胶渣、废胶水、废抹布、油泥属于危险固废，需委托有资质单位处理；废布料、废烫金膜、废印花纸、废纱线外卖综合利用；污泥委托有资质单位处置；生活垃圾经收集后由环卫部门统一清运。</w:t>
            </w:r>
          </w:p>
        </w:tc>
        <w:tc>
          <w:tcPr>
            <w:tcW w:w="2166" w:type="pct"/>
            <w:vAlign w:val="center"/>
          </w:tcPr>
          <w:p>
            <w:pPr>
              <w:pStyle w:val="44"/>
              <w:jc w:val="both"/>
              <w:rPr>
                <w:color w:val="auto"/>
              </w:rPr>
            </w:pPr>
            <w:r>
              <w:rPr>
                <w:rFonts w:hint="eastAsia"/>
                <w:color w:val="auto"/>
              </w:rPr>
              <w:t>已落实。</w:t>
            </w:r>
          </w:p>
          <w:p>
            <w:pPr>
              <w:pStyle w:val="44"/>
              <w:jc w:val="both"/>
              <w:rPr>
                <w:color w:val="auto"/>
              </w:rPr>
            </w:pPr>
            <w:r>
              <w:rPr>
                <w:rFonts w:hint="eastAsia"/>
                <w:color w:val="auto"/>
              </w:rPr>
              <w:t>本项目已实施部分生产过程中产生的固体废物主要为废布料、破损废包装桶、废活性炭、废胶渣、废胶水、废抹布、油泥、污泥以及职工生活垃圾。</w:t>
            </w:r>
          </w:p>
          <w:p>
            <w:pPr>
              <w:pStyle w:val="44"/>
              <w:jc w:val="both"/>
              <w:rPr>
                <w:color w:val="auto"/>
              </w:rPr>
            </w:pPr>
            <w:r>
              <w:rPr>
                <w:rFonts w:hint="eastAsia"/>
                <w:color w:val="auto"/>
              </w:rPr>
              <w:t>废布料由企业收集分类后出售给相关单位进行综合利用；破损废包装桶、废活性炭、废胶渣、废胶水、废抹布、油泥在厂内危废仓库暂存，委托嘉兴市桐源环境科技有限公司收集转运，最终由嘉兴市固体废物处置有限责任公司处置；污泥收集后委托浙江景顺环保能源有限公司处置；生活垃圾在厂内定点收集，委托当地环卫部门统一清运。</w:t>
            </w:r>
          </w:p>
        </w:tc>
      </w:tr>
    </w:tbl>
    <w:p>
      <w:pPr>
        <w:pStyle w:val="2"/>
        <w:ind w:left="0" w:leftChars="0" w:firstLine="0" w:firstLineChars="0"/>
      </w:pPr>
    </w:p>
    <w:p>
      <w:pPr>
        <w:pStyle w:val="4"/>
        <w:sectPr>
          <w:pgSz w:w="11906" w:h="16838"/>
          <w:pgMar w:top="1418" w:right="1701" w:bottom="1418" w:left="1701" w:header="851" w:footer="992" w:gutter="0"/>
          <w:pgNumType w:fmt="numberInDash"/>
          <w:cols w:space="425" w:num="1"/>
          <w:docGrid w:type="lines" w:linePitch="312" w:charSpace="0"/>
        </w:sectPr>
      </w:pPr>
      <w:bookmarkStart w:id="57" w:name="_Toc81808506"/>
      <w:bookmarkStart w:id="58" w:name="_Toc515273914"/>
    </w:p>
    <w:p>
      <w:pPr>
        <w:pStyle w:val="4"/>
      </w:pPr>
      <w:r>
        <w:rPr>
          <w:rFonts w:hint="eastAsia"/>
        </w:rPr>
        <w:t>5</w:t>
      </w:r>
      <w:r>
        <w:t>建设项目环评</w:t>
      </w:r>
      <w:r>
        <w:rPr>
          <w:rFonts w:hint="eastAsia"/>
        </w:rPr>
        <w:t>报告表</w:t>
      </w:r>
      <w:r>
        <w:t>的主要结论与建议及审批部门审批决定</w:t>
      </w:r>
      <w:bookmarkEnd w:id="57"/>
      <w:bookmarkEnd w:id="58"/>
    </w:p>
    <w:p>
      <w:pPr>
        <w:pStyle w:val="5"/>
      </w:pPr>
      <w:bookmarkStart w:id="59" w:name="_Toc515273915"/>
      <w:bookmarkStart w:id="60" w:name="_Toc81808507"/>
      <w:r>
        <w:t>5.1建设项目环评</w:t>
      </w:r>
      <w:r>
        <w:rPr>
          <w:rFonts w:hint="eastAsia"/>
        </w:rPr>
        <w:t>报告表</w:t>
      </w:r>
      <w:r>
        <w:t>的主要结论与建议</w:t>
      </w:r>
      <w:bookmarkEnd w:id="59"/>
      <w:bookmarkEnd w:id="60"/>
    </w:p>
    <w:p>
      <w:pPr>
        <w:pStyle w:val="6"/>
      </w:pPr>
      <w:r>
        <w:t>5.1.1水环境影响分析</w:t>
      </w:r>
    </w:p>
    <w:p>
      <w:pPr>
        <w:ind w:firstLine="480"/>
      </w:pPr>
      <w:r>
        <w:rPr>
          <w:rFonts w:hint="eastAsia"/>
        </w:rPr>
        <w:t>本项目排水实行雨污分流、清污分流。雨水经雨水管道收集后排入雨水管网。</w:t>
      </w:r>
    </w:p>
    <w:p>
      <w:pPr>
        <w:ind w:firstLine="0" w:firstLineChars="0"/>
      </w:pPr>
      <w:r>
        <w:rPr>
          <w:rFonts w:hint="eastAsia"/>
        </w:rPr>
        <w:t>废水经污水处理系统处理达标后纳入市政污水管网，最后由桐乡市城市污水处理</w:t>
      </w:r>
    </w:p>
    <w:p>
      <w:pPr>
        <w:ind w:firstLine="0" w:firstLineChars="0"/>
      </w:pPr>
      <w:r>
        <w:rPr>
          <w:rFonts w:hint="eastAsia"/>
        </w:rPr>
        <w:t>有限责任公司集中处理达《城镇污水处理厂污染物排放标准》（GB18918-2002）一级 A 标准后排放。因此，在严格落实雨污分流的情况下，企业废水排放对周围地表水体无影响。</w:t>
      </w:r>
    </w:p>
    <w:p>
      <w:pPr>
        <w:ind w:firstLine="480"/>
      </w:pPr>
      <w:r>
        <w:rPr>
          <w:rFonts w:hint="eastAsia"/>
        </w:rPr>
        <w:t>此外，在切实落实好建设项目的废水的收集和处理工作，同时做好厂内的地面硬化防渗，特别是对危化品仓库、固废堆场的地面防渗工作，对地下水环影响较小。</w:t>
      </w:r>
    </w:p>
    <w:p>
      <w:pPr>
        <w:pStyle w:val="6"/>
      </w:pPr>
      <w:r>
        <w:t>5.1.2大气环境影响分析</w:t>
      </w:r>
    </w:p>
    <w:p>
      <w:pPr>
        <w:ind w:firstLine="480"/>
        <w:rPr>
          <w:rFonts w:cs="Times New Roman"/>
        </w:rPr>
      </w:pPr>
      <w:r>
        <w:rPr>
          <w:rFonts w:hint="eastAsia" w:cs="Times New Roman"/>
        </w:rPr>
        <w:t>本项目各类废气经收集处理后均可达标排放。经过大气预测，正常排放下，本项目非甲烷总烃、油烟、颗粒物的最大落地浓度贡献值的占标率均小于 10%，未超过环境质量标准。非正常工况下，各污染物排放对周边环境影响明显增大，大气污染物最大落地浓度虽然均未超过相关环境标准值，但明显高于废气处理设施正常运行时的贡献值。因此需加强对治理设施的维护与管理，避免非正常工况的发生</w:t>
      </w:r>
      <w:r>
        <w:rPr>
          <w:rFonts w:hint="eastAsia"/>
        </w:rPr>
        <w:t>。</w:t>
      </w:r>
    </w:p>
    <w:p>
      <w:pPr>
        <w:pStyle w:val="6"/>
      </w:pPr>
      <w:r>
        <w:t>5.1.3声环境影响分析结论</w:t>
      </w:r>
    </w:p>
    <w:p>
      <w:pPr>
        <w:ind w:firstLine="480"/>
      </w:pPr>
      <w:r>
        <w:rPr>
          <w:rFonts w:hint="eastAsia"/>
        </w:rPr>
        <w:t>从预测结果可知，本项目实施后全厂设备噪声对厂界噪声贡献值能满足《工业企业厂界环境噪声排放标准》（GB12348-2008）3类标准要求，，敏感点处叠加本底值后预测值满足《声环境质量标准》（GB3096-2008）中的2类标准要求。</w:t>
      </w:r>
    </w:p>
    <w:p>
      <w:pPr>
        <w:ind w:firstLine="480"/>
      </w:pPr>
      <w:r>
        <w:t>项目噪声经治理后可以做到稳定达标排放</w:t>
      </w:r>
      <w:r>
        <w:rPr>
          <w:rFonts w:hint="eastAsia"/>
        </w:rPr>
        <w:t>，</w:t>
      </w:r>
      <w:r>
        <w:t>对周围声环境质量不会产生不利影响</w:t>
      </w:r>
      <w:r>
        <w:rPr>
          <w:rFonts w:hint="eastAsia"/>
        </w:rPr>
        <w:t>，</w:t>
      </w:r>
      <w:r>
        <w:t>不触及声环境质量底线</w:t>
      </w:r>
      <w:r>
        <w:rPr>
          <w:rFonts w:hint="eastAsia"/>
        </w:rPr>
        <w:t>。</w:t>
      </w:r>
    </w:p>
    <w:p>
      <w:pPr>
        <w:pStyle w:val="6"/>
      </w:pPr>
      <w:r>
        <w:t>5.1.4固废影响分析结论</w:t>
      </w:r>
    </w:p>
    <w:p>
      <w:pPr>
        <w:ind w:firstLine="480"/>
      </w:pPr>
      <w:r>
        <w:rPr>
          <w:rFonts w:hint="eastAsia"/>
        </w:rPr>
        <w:t>项目固废实行分类管理，危险废物收集后委托有资质单位集中处置，一般固废视其性质采取出售等方式处理，固废可实现零排放，项目产生的固废对环境影响不大。</w:t>
      </w:r>
    </w:p>
    <w:p>
      <w:pPr>
        <w:pStyle w:val="6"/>
      </w:pPr>
      <w:bookmarkStart w:id="61" w:name="_Toc81808508"/>
      <w:bookmarkStart w:id="62" w:name="_Toc81808396"/>
      <w:r>
        <w:rPr>
          <w:rFonts w:hint="eastAsia" w:eastAsia="宋体"/>
        </w:rPr>
        <w:t>5.1.5</w:t>
      </w:r>
      <w:r>
        <w:t>总量控制分析结论</w:t>
      </w:r>
      <w:bookmarkEnd w:id="61"/>
      <w:bookmarkEnd w:id="62"/>
    </w:p>
    <w:p>
      <w:pPr>
        <w:snapToGrid w:val="0"/>
        <w:ind w:firstLine="480"/>
      </w:pPr>
      <w:r>
        <w:rPr>
          <w:rFonts w:hint="eastAsia"/>
        </w:rPr>
        <w:t>本项目实施后，企业的污染物总量控制建议值为：COD</w:t>
      </w:r>
      <w:r>
        <w:rPr>
          <w:rFonts w:hint="eastAsia"/>
          <w:vertAlign w:val="subscript"/>
        </w:rPr>
        <w:t>Cr</w:t>
      </w:r>
      <w:r>
        <w:rPr>
          <w:rFonts w:hint="eastAsia"/>
        </w:rPr>
        <w:t>为0.174t/a、NH</w:t>
      </w:r>
      <w:r>
        <w:rPr>
          <w:rFonts w:hint="eastAsia"/>
          <w:vertAlign w:val="subscript"/>
        </w:rPr>
        <w:t>3</w:t>
      </w:r>
      <w:r>
        <w:rPr>
          <w:rFonts w:hint="eastAsia"/>
        </w:rPr>
        <w:t>-N为0.017t/a、工业烟粉尘为0.077t/a、VOCs为1.511t/a、SO</w:t>
      </w:r>
      <w:r>
        <w:rPr>
          <w:rFonts w:hint="eastAsia"/>
          <w:vertAlign w:val="subscript"/>
        </w:rPr>
        <w:t>2</w:t>
      </w:r>
      <w:r>
        <w:rPr>
          <w:rFonts w:hint="eastAsia"/>
        </w:rPr>
        <w:t>为0.049t/a、NO</w:t>
      </w:r>
      <w:r>
        <w:rPr>
          <w:rFonts w:hint="eastAsia"/>
          <w:vertAlign w:val="subscript"/>
        </w:rPr>
        <w:t>X</w:t>
      </w:r>
      <w:r>
        <w:rPr>
          <w:rFonts w:hint="eastAsia"/>
        </w:rPr>
        <w:t>为0.460t/a。</w:t>
      </w:r>
    </w:p>
    <w:p>
      <w:pPr>
        <w:snapToGrid w:val="0"/>
        <w:ind w:firstLine="480"/>
      </w:pPr>
      <w:r>
        <w:rPr>
          <w:rFonts w:hint="eastAsia"/>
        </w:rPr>
        <w:t>COD</w:t>
      </w:r>
      <w:r>
        <w:rPr>
          <w:rFonts w:hint="eastAsia"/>
          <w:vertAlign w:val="subscript"/>
        </w:rPr>
        <w:t>Cr</w:t>
      </w:r>
      <w:r>
        <w:rPr>
          <w:rFonts w:hint="eastAsia"/>
        </w:rPr>
        <w:t>、NH</w:t>
      </w:r>
      <w:r>
        <w:rPr>
          <w:rFonts w:hint="eastAsia"/>
          <w:vertAlign w:val="subscript"/>
        </w:rPr>
        <w:t>3</w:t>
      </w:r>
      <w:r>
        <w:rPr>
          <w:rFonts w:hint="eastAsia"/>
        </w:rPr>
        <w:t>-N新增0.174t/a、0.017t/a，两项水主要污染物排放量需按1:2区域替代削减。VOCs、粉尘、SO</w:t>
      </w:r>
      <w:r>
        <w:rPr>
          <w:rFonts w:hint="eastAsia"/>
          <w:vertAlign w:val="subscript"/>
        </w:rPr>
        <w:t>2</w:t>
      </w:r>
      <w:r>
        <w:rPr>
          <w:rFonts w:hint="eastAsia"/>
        </w:rPr>
        <w:t>和NO</w:t>
      </w:r>
      <w:r>
        <w:rPr>
          <w:rFonts w:hint="eastAsia"/>
          <w:vertAlign w:val="subscript"/>
        </w:rPr>
        <w:t>X</w:t>
      </w:r>
      <w:r>
        <w:rPr>
          <w:rFonts w:hint="eastAsia"/>
        </w:rPr>
        <w:t>新增了1.511t/a、0.077t/a、0.049t/a和0.460t/a，需按照1:2区域替代削减。</w:t>
      </w:r>
    </w:p>
    <w:p>
      <w:pPr>
        <w:snapToGrid w:val="0"/>
        <w:ind w:firstLine="480"/>
      </w:pPr>
      <w:r>
        <w:rPr>
          <w:rFonts w:hint="eastAsia"/>
        </w:rPr>
        <w:t>新增污染物通过区域平衡替代削减，符合总量控制要求</w:t>
      </w:r>
      <w:r>
        <w:t>。</w:t>
      </w:r>
    </w:p>
    <w:p>
      <w:pPr>
        <w:pStyle w:val="6"/>
      </w:pPr>
      <w:bookmarkStart w:id="63" w:name="_Toc81808397"/>
      <w:bookmarkStart w:id="64" w:name="_Toc81808509"/>
      <w:r>
        <w:t>5.1.</w:t>
      </w:r>
      <w:r>
        <w:rPr>
          <w:rFonts w:hint="eastAsia"/>
        </w:rPr>
        <w:t>6</w:t>
      </w:r>
      <w:r>
        <w:t>总结论</w:t>
      </w:r>
      <w:bookmarkEnd w:id="63"/>
      <w:bookmarkEnd w:id="64"/>
    </w:p>
    <w:p>
      <w:pPr>
        <w:ind w:firstLine="480"/>
      </w:pPr>
      <w:bookmarkStart w:id="65" w:name="_Toc515273916"/>
      <w:r>
        <w:rPr>
          <w:rFonts w:hint="eastAsia"/>
        </w:rPr>
        <w:t>项目选址不涉及生态红线、实施后能维持区域环境质量现状，不会突破当地环境质量底线，此外，项目各项能资源均有合理来源，不会触及当地资源利用上线，并且项目的建设不在当地环境管理负面清单之列，符合《关于以改善环境质量为核心加强环境影响评价管理的通知》（环环评[2016]150 号）的文件要求。</w:t>
      </w:r>
    </w:p>
    <w:p>
      <w:pPr>
        <w:ind w:firstLine="480"/>
      </w:pPr>
      <w:r>
        <w:rPr>
          <w:rFonts w:hint="eastAsia"/>
        </w:rPr>
        <w:t>桐乡市诺派纺织科技有限公司年产500万米功能性装饰面料建设项目，选址于桐乡市洲泉镇工业功能区中小企业分区中河路158号。项目建设符合国家及地方产业政策要求，符合城乡发展规划、土地总体规划和环境功能规划；项目选址可行，厂区布置合理；生产工艺先进，技术成熟可靠，满足清洁生产要求；在落实本环评提出的各项污染防治措施后污染物均能达标排放，并符合总量控制原则，项目实施后各污染物排放对周围环境贡献量较小，当地环境质量仍能维持现状；公示期间，未收到来电、来信等反对意见；通过落实各项风险防范措施及应急预案，事故风险可控制在接受范围内；项目可实现环境效益、经济效益和社会效益的协调发展。</w:t>
      </w:r>
    </w:p>
    <w:p>
      <w:pPr>
        <w:ind w:firstLine="480"/>
      </w:pPr>
      <w:r>
        <w:rPr>
          <w:rFonts w:hint="eastAsia"/>
        </w:rPr>
        <w:t>因此，项目需认真落实环评中提出的各项污染防治措施，严格执行“三同时”制度，确保污染物达标排放。从环保角度而言，项目实施是可行的。</w:t>
      </w:r>
    </w:p>
    <w:p>
      <w:pPr>
        <w:pStyle w:val="5"/>
        <w:rPr>
          <w:rFonts w:cs="Times New Roman"/>
          <w:szCs w:val="24"/>
        </w:rPr>
      </w:pPr>
      <w:bookmarkStart w:id="66" w:name="_Toc81808510"/>
      <w:r>
        <w:rPr>
          <w:rFonts w:cs="Times New Roman"/>
          <w:szCs w:val="24"/>
        </w:rPr>
        <w:t>5.2审批部门审批决定</w:t>
      </w:r>
      <w:bookmarkEnd w:id="65"/>
      <w:bookmarkEnd w:id="66"/>
    </w:p>
    <w:p>
      <w:pPr>
        <w:ind w:firstLine="480"/>
      </w:pPr>
      <w:r>
        <w:rPr>
          <w:rFonts w:hint="eastAsia"/>
        </w:rPr>
        <w:t>嘉兴市生态环境局</w:t>
      </w:r>
      <w:r>
        <w:t>于2021年8月5日以</w:t>
      </w:r>
      <w:r>
        <w:rPr>
          <w:rFonts w:hint="eastAsia"/>
        </w:rPr>
        <w:t>嘉桐环建〔2021〕0158号</w:t>
      </w:r>
      <w:r>
        <w:t>对本项目</w:t>
      </w:r>
      <w:r>
        <w:rPr>
          <w:rFonts w:hint="eastAsia"/>
        </w:rPr>
        <w:t>环境影响报告书</w:t>
      </w:r>
      <w:r>
        <w:t>出具了审查意见，具体如下：</w:t>
      </w:r>
    </w:p>
    <w:p>
      <w:pPr>
        <w:ind w:firstLine="480"/>
      </w:pPr>
      <w:r>
        <w:rPr>
          <w:rFonts w:hint="eastAsia"/>
        </w:rPr>
        <w:t>桐乡市诺派纺织科技有限公司：</w:t>
      </w:r>
    </w:p>
    <w:p>
      <w:pPr>
        <w:ind w:firstLine="480"/>
      </w:pPr>
      <w:r>
        <w:rPr>
          <w:rFonts w:hint="eastAsia"/>
        </w:rPr>
        <w:t>你公司要求对《桐乡市诺派纺织科技有限公司年产</w:t>
      </w:r>
      <w:r>
        <w:t>500万米</w:t>
      </w:r>
      <w:r>
        <w:rPr>
          <w:rFonts w:hint="eastAsia"/>
        </w:rPr>
        <w:t>功能性装饰面料建设项目环境影响报告书》审批的申请及其它相关材料收悉。经研究，我局审查意见如下：</w:t>
      </w:r>
    </w:p>
    <w:p>
      <w:pPr>
        <w:ind w:firstLine="480"/>
      </w:pPr>
      <w:r>
        <w:rPr>
          <w:rFonts w:hint="eastAsia"/>
        </w:rPr>
        <w:t>一、根据杭州环保科技咨询有限公司编制的《桐乡市诺派纺织科技有限公司年产</w:t>
      </w:r>
      <w:r>
        <w:t>500万米功能性装饰面料建设项目环境影响</w:t>
      </w:r>
      <w:r>
        <w:rPr>
          <w:rFonts w:hint="eastAsia"/>
        </w:rPr>
        <w:t>报告书》（报批稿）、本项目环评报告书专家咨询意见和复核意见，在项目符合桐乡市“三线一单”生态环境分区管控方案、产业政策、产业发展规划、选址符合城市总体规划、土地利用总体规划等前提下，原则同意环评报告书的基本结论。你单位须严格按照环评报告书所列建设项目的性质、规模、地点、采用的生产工艺、平面布局、环保对策措施及要求实施项目的建设。</w:t>
      </w:r>
    </w:p>
    <w:p>
      <w:pPr>
        <w:ind w:firstLine="480"/>
      </w:pPr>
      <w:r>
        <w:rPr>
          <w:rFonts w:hint="eastAsia"/>
        </w:rPr>
        <w:t>若项目的性质、规模、地点、平面布局、采用的生产工艺或者防治污染、防止生态破坏的措施发生重大变动的，应依法重新嘉兴市生态环境局文件报批环评文件；自批准之日起超过</w:t>
      </w:r>
      <w:r>
        <w:t>5年方决定该项目开工建设的，</w:t>
      </w:r>
      <w:r>
        <w:rPr>
          <w:rFonts w:hint="eastAsia"/>
        </w:rPr>
        <w:t>其环评文件应报我局重新审核。在项目建设、运行过程中产生其它不符合经审批的环评文件情形的，应依法办理相关环保手续。</w:t>
      </w:r>
    </w:p>
    <w:p>
      <w:pPr>
        <w:ind w:firstLine="480"/>
      </w:pPr>
      <w:r>
        <w:rPr>
          <w:rFonts w:hint="eastAsia"/>
        </w:rPr>
        <w:t>二、该项目属于新建项目，拟建地址位于桐乡市洲泉镇工业功能区中小企业分区中河路</w:t>
      </w:r>
      <w:r>
        <w:t>158号，项目总投资4865万元，其中</w:t>
      </w:r>
      <w:r>
        <w:rPr>
          <w:rFonts w:hint="eastAsia"/>
        </w:rPr>
        <w:t>环保投资</w:t>
      </w:r>
      <w:r>
        <w:t>165万元，租用桐乡市炬力塑胶股份有限公司闲置厂房，</w:t>
      </w:r>
      <w:r>
        <w:rPr>
          <w:rFonts w:hint="eastAsia"/>
        </w:rPr>
        <w:t>形成年产</w:t>
      </w:r>
      <w:r>
        <w:t>500万米功能性装饰面料的生产能力。</w:t>
      </w:r>
    </w:p>
    <w:p>
      <w:pPr>
        <w:ind w:firstLine="480"/>
      </w:pPr>
      <w:r>
        <w:rPr>
          <w:rFonts w:hint="eastAsia"/>
        </w:rPr>
        <w:t>三、项目建设中要认真落实环评报告书提出的各项污染防治措施，确保污染物达标排放。重点做好以下工作：</w:t>
      </w:r>
    </w:p>
    <w:p>
      <w:pPr>
        <w:ind w:firstLine="480"/>
      </w:pPr>
      <w:r>
        <w:t>1、废水：本项目生产废水主要为废气处理的喷淋废水、印</w:t>
      </w:r>
      <w:r>
        <w:rPr>
          <w:rFonts w:hint="eastAsia"/>
        </w:rPr>
        <w:t>刷版清洗废水、调浆容器清洗废水。本项目生产废水和生活污水经厂区污水处理站处理后纳入园区污水管网，最终由桐乡市城市污水处理有限责任公司处理达标后排放。废水纳管标准执行《纺织染整工业水污染物排放标准》</w:t>
      </w:r>
      <w:r>
        <w:t>(GB4287-2012)及其修改单（环</w:t>
      </w:r>
      <w:r>
        <w:rPr>
          <w:rFonts w:hint="eastAsia"/>
        </w:rPr>
        <w:t>保部公告</w:t>
      </w:r>
      <w:r>
        <w:t>2015年第19号），以及《关于&lt;纺织染整工业水污染物</w:t>
      </w:r>
      <w:r>
        <w:rPr>
          <w:rFonts w:hint="eastAsia"/>
        </w:rPr>
        <w:t>排放标准</w:t>
      </w:r>
      <w:r>
        <w:t>&gt;(GB4287-2012)部分指标执行要求的公告》（环保部公</w:t>
      </w:r>
      <w:r>
        <w:rPr>
          <w:rFonts w:hint="eastAsia"/>
        </w:rPr>
        <w:t>告</w:t>
      </w:r>
      <w:r>
        <w:t>2015年第41号）中相应的排放限值。</w:t>
      </w:r>
    </w:p>
    <w:p>
      <w:pPr>
        <w:ind w:firstLine="480"/>
      </w:pPr>
      <w:r>
        <w:t>2、废气：本项目废气主要为复合废气、烫金废气、印刷废</w:t>
      </w:r>
      <w:r>
        <w:rPr>
          <w:rFonts w:hint="eastAsia"/>
        </w:rPr>
        <w:t>气、转移印花废气、涂层废气、天然气燃烧废气和恶臭等。复合废气、烫金废气、印刷废气收集后采用二级水喷淋</w:t>
      </w:r>
      <w:r>
        <w:t>+除湿装置+</w:t>
      </w:r>
      <w:r>
        <w:rPr>
          <w:rFonts w:hint="eastAsia"/>
        </w:rPr>
        <w:t>活性炭吸附装置处理后通过排气筒高空排放；转移印花废气收集后采用水喷淋</w:t>
      </w:r>
      <w:r>
        <w:t>+除湿装置+高压静电装置处理后通过排气筒高空</w:t>
      </w:r>
      <w:r>
        <w:rPr>
          <w:rFonts w:hint="eastAsia"/>
        </w:rPr>
        <w:t>排放；涂层废气收集后采用二级水喷淋</w:t>
      </w:r>
      <w:r>
        <w:t>+除湿装置+光催化氧化</w:t>
      </w:r>
      <w:r>
        <w:rPr>
          <w:rFonts w:hint="eastAsia"/>
        </w:rPr>
        <w:t>（除臭）处理后通过排气筒高空排放；天然气燃烧废气通过涂层机烘箱上吸风管收集后和涂层废气一道通过排气筒高空排放。废气排放标准执行《纺织染整工业大气污染物排放标准》（</w:t>
      </w:r>
      <w:r>
        <w:t>DB33/962-2015）、《挥发性有机物无组织排放控制标准》</w:t>
      </w:r>
      <w:r>
        <w:rPr>
          <w:rFonts w:hint="eastAsia"/>
        </w:rPr>
        <w:t>（</w:t>
      </w:r>
      <w:r>
        <w:t>GB37822-2019）、《工业炉窑大气污染综合治理方案》(环大</w:t>
      </w:r>
      <w:r>
        <w:rPr>
          <w:rFonts w:hint="eastAsia"/>
        </w:rPr>
        <w:t>气</w:t>
      </w:r>
      <w:r>
        <w:t>[2019]56号)、《关于印发浙江省工业炉窑大气污染物综合治</w:t>
      </w:r>
      <w:r>
        <w:rPr>
          <w:rFonts w:hint="eastAsia"/>
        </w:rPr>
        <w:t>理实施方案的通知》（浙环函</w:t>
      </w:r>
      <w:r>
        <w:t>[2019]315号）中相应的排放限值。</w:t>
      </w:r>
      <w:r>
        <w:rPr>
          <w:rFonts w:hint="eastAsia"/>
        </w:rPr>
        <w:t>根据环评计算结果，本项目无须设置大气防护距离，其它各类防护距离要求请业主、当地政府和有关部门按国家卫生、安全、产业等主管部门相关规定予以落实。</w:t>
      </w:r>
    </w:p>
    <w:p>
      <w:pPr>
        <w:ind w:firstLine="480"/>
      </w:pPr>
      <w:r>
        <w:t>3、噪声：厂区建设应合理布局，选择低噪声设备，加强设</w:t>
      </w:r>
      <w:r>
        <w:rPr>
          <w:rFonts w:hint="eastAsia"/>
        </w:rPr>
        <w:t>备隔声降噪处理，加强维修保养措施。营运期厂界噪声排放执行</w:t>
      </w:r>
      <w:r>
        <w:t>GB12348-2008《工业企业厂界环境噪声排放标准》中的3类标准。</w:t>
      </w:r>
    </w:p>
    <w:p>
      <w:pPr>
        <w:ind w:firstLine="480"/>
      </w:pPr>
      <w:r>
        <w:t>4、固废：项目产生的固体废弃物应按危险废物和一般废物</w:t>
      </w:r>
      <w:r>
        <w:rPr>
          <w:rFonts w:hint="eastAsia"/>
        </w:rPr>
        <w:t>进行分类、分质处置，按照“资源化、减量化、无害化”原则，提高资源综合利用率。破损废包装桶、废活性炭、废胶渣、废胶水、废抹布、油泥属于危险固废，需委托有资质单位处理；废布料、废烫金膜、废印花纸、废纱线外卖综合利用；污泥委托有资质单位处置；生活垃圾经收集后由环卫部门统一清运。</w:t>
      </w:r>
    </w:p>
    <w:p>
      <w:pPr>
        <w:ind w:firstLine="480"/>
      </w:pPr>
      <w:r>
        <w:rPr>
          <w:rFonts w:hint="eastAsia"/>
        </w:rPr>
        <w:t>四、严格落实污染物排放总量控制措施，并实行污染物总量控制。建成后你公司的主要污染物总量控制指标：废水排放量</w:t>
      </w:r>
      <w:r>
        <w:t>0.3481万吨/年，化学需氧量0.174吨/年，氨氮0.017吨/年，二</w:t>
      </w:r>
      <w:r>
        <w:rPr>
          <w:rFonts w:hint="eastAsia"/>
        </w:rPr>
        <w:t>氧化硫</w:t>
      </w:r>
      <w:r>
        <w:t>0.049吨/年，氮氧化物0.460吨/年，工业烟粉尘0.077吨/</w:t>
      </w:r>
      <w:r>
        <w:rPr>
          <w:rFonts w:hint="eastAsia"/>
        </w:rPr>
        <w:t>年，挥发性有机污染物（</w:t>
      </w:r>
      <w:r>
        <w:t>VOCs）1.511吨/年。</w:t>
      </w:r>
    </w:p>
    <w:p>
      <w:pPr>
        <w:ind w:firstLine="480"/>
      </w:pPr>
      <w:r>
        <w:rPr>
          <w:rFonts w:hint="eastAsia"/>
        </w:rPr>
        <w:t>五、加强项目的日常管理和环境风险防范。你公司应建立健全各项环保规章制度和岗位责任制，设置专门的环保管理机构，建立环境监督员制度，落实专职环保技术人员，加强技术人员的环保培训，配备环境监测仪器设备；严格按照《化学危险物品安全管理条例》等的要求，加强对原辅材料和产品运输、贮存、使用过程的管理；做好各类生产设备、环保设施的运行管理和日常检修维护，定期监测各污染源，建立污染源监测台账制度，确保环保设施稳定正常运行和污染物的稳定达标排放，杜绝跑、冒、漏现象和事故性排放。落实报告书中提出的各项风险防范措施，设置事故应急池，制定应急预案，杜绝环境风险事故发生。</w:t>
      </w:r>
    </w:p>
    <w:p>
      <w:pPr>
        <w:ind w:firstLine="480"/>
      </w:pPr>
      <w:r>
        <w:rPr>
          <w:rFonts w:hint="eastAsia"/>
        </w:rPr>
        <w:t>六、请环保二所做好建设项目施工期间的环境保护和配套建设的污染防治措施落实情况的督查检查工作。</w:t>
      </w:r>
    </w:p>
    <w:p>
      <w:pPr>
        <w:ind w:firstLine="480"/>
      </w:pPr>
      <w:r>
        <w:rPr>
          <w:rFonts w:hint="eastAsia"/>
        </w:rPr>
        <w:t>七、该项目在设计、施工、运行过程中必须严格按《建设项目环境保护管理条例》有关规定，落实环评报告书中有关防治措施，加强环境管理，严格执行环保“三同时”制度，须按规定程序进行建设项目环境保护设施竣工验收，经验收合格后建设项目方可正式投入生产。</w:t>
      </w:r>
    </w:p>
    <w:p>
      <w:pPr>
        <w:pStyle w:val="2"/>
        <w:ind w:left="480" w:firstLine="480"/>
      </w:pPr>
    </w:p>
    <w:p>
      <w:pPr>
        <w:pStyle w:val="4"/>
        <w:sectPr>
          <w:pgSz w:w="11906" w:h="16838"/>
          <w:pgMar w:top="1418" w:right="1701" w:bottom="1418" w:left="1701" w:header="851" w:footer="992" w:gutter="0"/>
          <w:pgNumType w:fmt="numberInDash"/>
          <w:cols w:space="425" w:num="1"/>
          <w:docGrid w:type="lines" w:linePitch="312" w:charSpace="0"/>
        </w:sectPr>
      </w:pPr>
      <w:bookmarkStart w:id="67" w:name="_Toc515273917"/>
    </w:p>
    <w:p>
      <w:pPr>
        <w:pStyle w:val="4"/>
      </w:pPr>
      <w:bookmarkStart w:id="68" w:name="_Toc81808511"/>
      <w:r>
        <w:rPr>
          <w:rFonts w:hint="eastAsia"/>
        </w:rPr>
        <w:t>6</w:t>
      </w:r>
      <w:r>
        <w:t>验收执行标准</w:t>
      </w:r>
      <w:bookmarkEnd w:id="67"/>
      <w:bookmarkEnd w:id="68"/>
    </w:p>
    <w:p>
      <w:pPr>
        <w:pStyle w:val="5"/>
      </w:pPr>
      <w:bookmarkStart w:id="69" w:name="_Toc9526"/>
      <w:bookmarkStart w:id="70" w:name="_Toc81808512"/>
      <w:bookmarkStart w:id="71" w:name="_Toc20303"/>
      <w:bookmarkStart w:id="72" w:name="_Toc20673"/>
      <w:r>
        <w:rPr>
          <w:rFonts w:hint="eastAsia"/>
        </w:rPr>
        <w:t>6.1</w:t>
      </w:r>
      <w:r>
        <w:t>废水</w:t>
      </w:r>
      <w:bookmarkEnd w:id="69"/>
      <w:bookmarkEnd w:id="70"/>
      <w:bookmarkEnd w:id="71"/>
      <w:bookmarkEnd w:id="72"/>
    </w:p>
    <w:p>
      <w:pPr>
        <w:ind w:firstLine="480"/>
      </w:pPr>
      <w:r>
        <w:rPr>
          <w:rFonts w:hint="eastAsia"/>
        </w:rPr>
        <w:t>公司喷淋水循环使用定期更换，产生的喷淋废水、调浆容器清洗废水经厂区污水站处理后与经化粪池预处理的生活污水一并达到《纺织染整工业水污染物排放标准》（GB4287-2012）及其修改单（环保部公告2015年第19号），以及《关于&lt;纺织染整工业水污染物排放标准&gt;（GB4287-2012）部分指标执行要求的公告》（环保部公告2015年第41号）中相应的排放限值后，纳入园区污水管网，废水最终经桐乡市城市污水处理有限责任公司集中处理达到《城镇污水处理厂污染物排放标准》（GB18918-2002）表1中一级A标准（即COD</w:t>
      </w:r>
      <w:r>
        <w:rPr>
          <w:rFonts w:hint="eastAsia"/>
          <w:vertAlign w:val="subscript"/>
        </w:rPr>
        <w:t>Cr</w:t>
      </w:r>
      <w:r>
        <w:rPr>
          <w:rFonts w:hint="eastAsia"/>
        </w:rPr>
        <w:t>≤50mg/L、NH</w:t>
      </w:r>
      <w:r>
        <w:rPr>
          <w:rFonts w:hint="eastAsia"/>
          <w:vertAlign w:val="subscript"/>
        </w:rPr>
        <w:t>3</w:t>
      </w:r>
      <w:r>
        <w:rPr>
          <w:rFonts w:hint="eastAsia"/>
        </w:rPr>
        <w:t>-N≤5mg/L）后排放钱塘江，</w:t>
      </w:r>
      <w:r>
        <w:t>具体见表6-1</w:t>
      </w:r>
      <w:r>
        <w:rPr>
          <w:rFonts w:hint="eastAsia"/>
        </w:rPr>
        <w:t>、</w:t>
      </w:r>
      <w:r>
        <w:t>表</w:t>
      </w:r>
      <w:r>
        <w:rPr>
          <w:rFonts w:hint="eastAsia"/>
        </w:rPr>
        <w:t>6</w:t>
      </w:r>
      <w:r>
        <w:t>-2。</w:t>
      </w:r>
    </w:p>
    <w:p>
      <w:pPr>
        <w:pStyle w:val="39"/>
        <w:spacing w:before="62" w:after="31"/>
        <w:rPr>
          <w:color w:val="auto"/>
        </w:rPr>
      </w:pPr>
      <w:r>
        <w:rPr>
          <w:color w:val="auto"/>
        </w:rPr>
        <w:t xml:space="preserve">表6-1 </w:t>
      </w:r>
      <w:r>
        <w:rPr>
          <w:rFonts w:hint="eastAsia"/>
          <w:color w:val="auto"/>
        </w:rPr>
        <w:t>《纺织染整工业水污染物排放标准》（G</w:t>
      </w:r>
      <w:r>
        <w:rPr>
          <w:color w:val="auto"/>
        </w:rPr>
        <w:t>B4287-2012</w:t>
      </w:r>
      <w:r>
        <w:rPr>
          <w:rFonts w:hint="eastAsia"/>
          <w:color w:val="auto"/>
        </w:rPr>
        <w:t>）</w:t>
      </w:r>
      <w:r>
        <w:rPr>
          <w:color w:val="auto"/>
        </w:rPr>
        <w:t>（单位：mg/L，pH除外）</w:t>
      </w:r>
    </w:p>
    <w:tbl>
      <w:tblPr>
        <w:tblStyle w:val="22"/>
        <w:tblW w:w="5000" w:type="pct"/>
        <w:jc w:val="center"/>
        <w:tblLayout w:type="autofit"/>
        <w:tblCellMar>
          <w:top w:w="0" w:type="dxa"/>
          <w:left w:w="0" w:type="dxa"/>
          <w:bottom w:w="0" w:type="dxa"/>
          <w:right w:w="0" w:type="dxa"/>
        </w:tblCellMar>
      </w:tblPr>
      <w:tblGrid>
        <w:gridCol w:w="2815"/>
        <w:gridCol w:w="1543"/>
        <w:gridCol w:w="2176"/>
        <w:gridCol w:w="1980"/>
      </w:tblGrid>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序号</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污染物项目</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间接排放限值</w:t>
            </w:r>
          </w:p>
        </w:tc>
        <w:tc>
          <w:tcPr>
            <w:tcW w:w="116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污染物排放监控位置</w:t>
            </w:r>
          </w:p>
        </w:tc>
      </w:tr>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1</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p</w:t>
            </w:r>
            <w:r>
              <w:t>H</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6</w:t>
            </w:r>
            <w:r>
              <w:t>-9</w:t>
            </w:r>
          </w:p>
        </w:tc>
        <w:tc>
          <w:tcPr>
            <w:tcW w:w="1163" w:type="pct"/>
            <w:vMerge w:val="restart"/>
            <w:tcBorders>
              <w:top w:val="single" w:color="000000" w:sz="4" w:space="0"/>
              <w:left w:val="single" w:color="000000" w:sz="4" w:space="0"/>
              <w:right w:val="single" w:color="000000" w:sz="4" w:space="0"/>
            </w:tcBorders>
            <w:vAlign w:val="center"/>
          </w:tcPr>
          <w:p>
            <w:pPr>
              <w:pStyle w:val="34"/>
            </w:pPr>
            <w:r>
              <w:t>企业废水总排放口</w:t>
            </w:r>
          </w:p>
        </w:tc>
      </w:tr>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2</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C</w:t>
            </w:r>
            <w:r>
              <w:t>OD</w:t>
            </w:r>
            <w:r>
              <w:rPr>
                <w:vertAlign w:val="subscript"/>
              </w:rPr>
              <w:t>C</w:t>
            </w:r>
            <w:r>
              <w:rPr>
                <w:rFonts w:hint="eastAsia"/>
                <w:vertAlign w:val="subscript"/>
              </w:rPr>
              <w:t>r</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2</w:t>
            </w:r>
            <w:r>
              <w:t>00</w:t>
            </w:r>
          </w:p>
        </w:tc>
        <w:tc>
          <w:tcPr>
            <w:tcW w:w="1163" w:type="pct"/>
            <w:vMerge w:val="continue"/>
            <w:tcBorders>
              <w:left w:val="single" w:color="000000" w:sz="4" w:space="0"/>
              <w:right w:val="single" w:color="000000" w:sz="4" w:space="0"/>
            </w:tcBorders>
            <w:vAlign w:val="center"/>
          </w:tcPr>
          <w:p>
            <w:pPr>
              <w:pStyle w:val="34"/>
            </w:pPr>
          </w:p>
        </w:tc>
      </w:tr>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3</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B</w:t>
            </w:r>
            <w:r>
              <w:t>OD</w:t>
            </w:r>
            <w:r>
              <w:rPr>
                <w:vertAlign w:val="subscript"/>
              </w:rPr>
              <w:t>5</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5</w:t>
            </w:r>
            <w:r>
              <w:t>0</w:t>
            </w:r>
          </w:p>
        </w:tc>
        <w:tc>
          <w:tcPr>
            <w:tcW w:w="1163" w:type="pct"/>
            <w:vMerge w:val="continue"/>
            <w:tcBorders>
              <w:left w:val="single" w:color="000000" w:sz="4" w:space="0"/>
              <w:right w:val="single" w:color="000000" w:sz="4" w:space="0"/>
            </w:tcBorders>
            <w:vAlign w:val="center"/>
          </w:tcPr>
          <w:p>
            <w:pPr>
              <w:pStyle w:val="34"/>
            </w:pPr>
          </w:p>
        </w:tc>
      </w:tr>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4</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N</w:t>
            </w:r>
            <w:r>
              <w:t>H</w:t>
            </w:r>
            <w:r>
              <w:rPr>
                <w:vertAlign w:val="subscript"/>
              </w:rPr>
              <w:t>3</w:t>
            </w:r>
            <w:r>
              <w:t>-N</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2</w:t>
            </w:r>
            <w:r>
              <w:t>0</w:t>
            </w:r>
          </w:p>
        </w:tc>
        <w:tc>
          <w:tcPr>
            <w:tcW w:w="1163" w:type="pct"/>
            <w:vMerge w:val="continue"/>
            <w:tcBorders>
              <w:left w:val="single" w:color="000000" w:sz="4" w:space="0"/>
              <w:right w:val="single" w:color="000000" w:sz="4" w:space="0"/>
            </w:tcBorders>
            <w:vAlign w:val="center"/>
          </w:tcPr>
          <w:p>
            <w:pPr>
              <w:pStyle w:val="34"/>
            </w:pPr>
          </w:p>
        </w:tc>
      </w:tr>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5</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S</w:t>
            </w:r>
            <w:r>
              <w:t>S</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1</w:t>
            </w:r>
            <w:r>
              <w:t>00</w:t>
            </w:r>
          </w:p>
        </w:tc>
        <w:tc>
          <w:tcPr>
            <w:tcW w:w="1163" w:type="pct"/>
            <w:vMerge w:val="continue"/>
            <w:tcBorders>
              <w:left w:val="single" w:color="000000" w:sz="4" w:space="0"/>
              <w:right w:val="single" w:color="000000" w:sz="4" w:space="0"/>
            </w:tcBorders>
            <w:vAlign w:val="center"/>
          </w:tcPr>
          <w:p>
            <w:pPr>
              <w:pStyle w:val="34"/>
            </w:pPr>
          </w:p>
        </w:tc>
      </w:tr>
      <w:tr>
        <w:tblPrEx>
          <w:tblCellMar>
            <w:top w:w="0" w:type="dxa"/>
            <w:left w:w="0" w:type="dxa"/>
            <w:bottom w:w="0" w:type="dxa"/>
            <w:right w:w="0" w:type="dxa"/>
          </w:tblCellMar>
        </w:tblPrEx>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6</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色度</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8</w:t>
            </w:r>
            <w:r>
              <w:t>0</w:t>
            </w:r>
          </w:p>
        </w:tc>
        <w:tc>
          <w:tcPr>
            <w:tcW w:w="1163" w:type="pct"/>
            <w:vMerge w:val="continue"/>
            <w:tcBorders>
              <w:left w:val="single" w:color="000000" w:sz="4" w:space="0"/>
              <w:right w:val="single" w:color="000000" w:sz="4" w:space="0"/>
            </w:tcBorders>
            <w:vAlign w:val="center"/>
          </w:tcPr>
          <w:p>
            <w:pPr>
              <w:pStyle w:val="34"/>
            </w:pPr>
          </w:p>
        </w:tc>
      </w:tr>
      <w:tr>
        <w:trPr>
          <w:trHeight w:val="340" w:hRule="atLeast"/>
          <w:jc w:val="center"/>
        </w:trPr>
        <w:tc>
          <w:tcPr>
            <w:tcW w:w="1653"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7</w:t>
            </w:r>
          </w:p>
        </w:tc>
        <w:tc>
          <w:tcPr>
            <w:tcW w:w="906"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T</w:t>
            </w:r>
            <w:r>
              <w:t>P</w:t>
            </w:r>
          </w:p>
        </w:tc>
        <w:tc>
          <w:tcPr>
            <w:tcW w:w="1278" w:type="pct"/>
            <w:tcBorders>
              <w:top w:val="single" w:color="000000" w:sz="4" w:space="0"/>
              <w:left w:val="single" w:color="000000" w:sz="4" w:space="0"/>
              <w:bottom w:val="single" w:color="000000" w:sz="4" w:space="0"/>
              <w:right w:val="single" w:color="000000" w:sz="4" w:space="0"/>
            </w:tcBorders>
            <w:vAlign w:val="center"/>
          </w:tcPr>
          <w:p>
            <w:pPr>
              <w:pStyle w:val="34"/>
            </w:pPr>
            <w:r>
              <w:rPr>
                <w:rFonts w:hint="eastAsia"/>
              </w:rPr>
              <w:t>1</w:t>
            </w:r>
            <w:r>
              <w:t>.5</w:t>
            </w:r>
          </w:p>
        </w:tc>
        <w:tc>
          <w:tcPr>
            <w:tcW w:w="1163" w:type="pct"/>
            <w:vMerge w:val="continue"/>
            <w:tcBorders>
              <w:left w:val="single" w:color="000000" w:sz="4" w:space="0"/>
              <w:bottom w:val="single" w:color="000000" w:sz="4" w:space="0"/>
              <w:right w:val="single" w:color="000000" w:sz="4" w:space="0"/>
            </w:tcBorders>
            <w:vAlign w:val="center"/>
          </w:tcPr>
          <w:p>
            <w:pPr>
              <w:pStyle w:val="34"/>
            </w:pPr>
          </w:p>
        </w:tc>
      </w:tr>
    </w:tbl>
    <w:p>
      <w:pPr>
        <w:pStyle w:val="39"/>
        <w:spacing w:before="62" w:after="31"/>
        <w:rPr>
          <w:color w:val="auto"/>
        </w:rPr>
      </w:pPr>
      <w:r>
        <w:rPr>
          <w:color w:val="auto"/>
        </w:rPr>
        <w:t xml:space="preserve">表6-2 </w:t>
      </w:r>
      <w:r>
        <w:rPr>
          <w:rFonts w:hint="eastAsia"/>
          <w:color w:val="auto"/>
        </w:rPr>
        <w:t>《城镇污水处理厂污染物排放标准》（</w:t>
      </w:r>
      <w:r>
        <w:rPr>
          <w:color w:val="auto"/>
        </w:rPr>
        <w:t>GB18918-2002</w:t>
      </w:r>
      <w:r>
        <w:rPr>
          <w:rFonts w:hint="eastAsia"/>
          <w:color w:val="auto"/>
        </w:rPr>
        <w:t>）</w:t>
      </w:r>
      <w:r>
        <w:rPr>
          <w:color w:val="auto"/>
        </w:rPr>
        <w:t>（单位：mg/L，pH除外）</w:t>
      </w:r>
    </w:p>
    <w:tbl>
      <w:tblPr>
        <w:tblStyle w:val="22"/>
        <w:tblW w:w="5000" w:type="pct"/>
        <w:jc w:val="center"/>
        <w:tblLayout w:type="fixed"/>
        <w:tblCellMar>
          <w:top w:w="0" w:type="dxa"/>
          <w:left w:w="0" w:type="dxa"/>
          <w:bottom w:w="0" w:type="dxa"/>
          <w:right w:w="0" w:type="dxa"/>
        </w:tblCellMar>
      </w:tblPr>
      <w:tblGrid>
        <w:gridCol w:w="1577"/>
        <w:gridCol w:w="975"/>
        <w:gridCol w:w="1137"/>
        <w:gridCol w:w="1137"/>
        <w:gridCol w:w="1420"/>
        <w:gridCol w:w="1137"/>
        <w:gridCol w:w="1131"/>
      </w:tblGrid>
      <w:tr>
        <w:tblPrEx>
          <w:tblCellMar>
            <w:top w:w="0" w:type="dxa"/>
            <w:left w:w="0" w:type="dxa"/>
            <w:bottom w:w="0" w:type="dxa"/>
            <w:right w:w="0" w:type="dxa"/>
          </w:tblCellMar>
        </w:tblPrEx>
        <w:trPr>
          <w:trHeight w:val="340" w:hRule="atLeast"/>
          <w:jc w:val="center"/>
        </w:trPr>
        <w:tc>
          <w:tcPr>
            <w:tcW w:w="157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
                <w:bCs w:val="0"/>
                <w:color w:val="auto"/>
              </w:rPr>
              <w:t>标 准</w:t>
            </w:r>
          </w:p>
        </w:tc>
        <w:tc>
          <w:tcPr>
            <w:tcW w:w="973"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
                <w:bCs w:val="0"/>
                <w:color w:val="auto"/>
              </w:rPr>
              <w:t>pH</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
                <w:bCs w:val="0"/>
                <w:color w:val="auto"/>
              </w:rPr>
              <w:t>COD</w:t>
            </w:r>
            <w:r>
              <w:rPr>
                <w:b/>
                <w:bCs w:val="0"/>
                <w:color w:val="auto"/>
                <w:vertAlign w:val="subscript"/>
              </w:rPr>
              <w:t>Cr</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
                <w:bCs w:val="0"/>
                <w:color w:val="auto"/>
              </w:rPr>
              <w:t>SS</w:t>
            </w:r>
          </w:p>
        </w:tc>
        <w:tc>
          <w:tcPr>
            <w:tcW w:w="1417"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
                <w:bCs w:val="0"/>
                <w:color w:val="auto"/>
              </w:rPr>
              <w:t>NH</w:t>
            </w:r>
            <w:r>
              <w:rPr>
                <w:b/>
                <w:bCs w:val="0"/>
                <w:color w:val="auto"/>
                <w:vertAlign w:val="subscript"/>
              </w:rPr>
              <w:t>3</w:t>
            </w:r>
            <w:r>
              <w:rPr>
                <w:b/>
                <w:bCs w:val="0"/>
                <w:color w:val="auto"/>
              </w:rPr>
              <w:t>-N</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rFonts w:hint="eastAsia"/>
                <w:b/>
                <w:bCs w:val="0"/>
                <w:color w:val="auto"/>
              </w:rPr>
              <w:t>BOD</w:t>
            </w:r>
            <w:r>
              <w:rPr>
                <w:rFonts w:hint="eastAsia"/>
                <w:b/>
                <w:bCs w:val="0"/>
                <w:color w:val="auto"/>
                <w:vertAlign w:val="subscript"/>
              </w:rPr>
              <w:t>5</w:t>
            </w:r>
          </w:p>
        </w:tc>
        <w:tc>
          <w:tcPr>
            <w:tcW w:w="1128"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rFonts w:hint="eastAsia"/>
                <w:b/>
                <w:bCs w:val="0"/>
                <w:color w:val="auto"/>
              </w:rPr>
              <w:t>T</w:t>
            </w:r>
            <w:r>
              <w:rPr>
                <w:b/>
                <w:bCs w:val="0"/>
                <w:color w:val="auto"/>
              </w:rPr>
              <w:t>P</w:t>
            </w:r>
          </w:p>
        </w:tc>
      </w:tr>
      <w:tr>
        <w:trPr>
          <w:trHeight w:val="340" w:hRule="atLeast"/>
          <w:jc w:val="center"/>
        </w:trPr>
        <w:tc>
          <w:tcPr>
            <w:tcW w:w="157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Cs w:val="0"/>
                <w:color w:val="auto"/>
              </w:rPr>
              <w:t>排放标准</w:t>
            </w:r>
          </w:p>
        </w:tc>
        <w:tc>
          <w:tcPr>
            <w:tcW w:w="973"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bCs w:val="0"/>
                <w:color w:val="auto"/>
              </w:rPr>
              <w:t>6~9</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rFonts w:hint="eastAsia"/>
                <w:bCs w:val="0"/>
                <w:color w:val="auto"/>
              </w:rPr>
              <w:t>≤50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rFonts w:hint="eastAsia"/>
                <w:bCs w:val="0"/>
                <w:color w:val="auto"/>
              </w:rPr>
              <w:t>≤10</w:t>
            </w:r>
          </w:p>
        </w:tc>
        <w:tc>
          <w:tcPr>
            <w:tcW w:w="1417"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rFonts w:hint="eastAsia"/>
                <w:bCs w:val="0"/>
                <w:color w:val="auto"/>
              </w:rPr>
              <w:t>≤5（8）*</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44"/>
              <w:rPr>
                <w:b/>
                <w:bCs w:val="0"/>
                <w:color w:val="auto"/>
              </w:rPr>
            </w:pPr>
            <w:r>
              <w:rPr>
                <w:rFonts w:hint="eastAsia"/>
                <w:bCs w:val="0"/>
                <w:color w:val="auto"/>
              </w:rPr>
              <w:t>≤10</w:t>
            </w:r>
          </w:p>
        </w:tc>
        <w:tc>
          <w:tcPr>
            <w:tcW w:w="1128" w:type="dxa"/>
            <w:tcBorders>
              <w:top w:val="single" w:color="000000" w:sz="4" w:space="0"/>
              <w:left w:val="single" w:color="000000" w:sz="4" w:space="0"/>
              <w:bottom w:val="single" w:color="000000" w:sz="4" w:space="0"/>
              <w:right w:val="single" w:color="000000" w:sz="4" w:space="0"/>
            </w:tcBorders>
            <w:vAlign w:val="center"/>
          </w:tcPr>
          <w:p>
            <w:pPr>
              <w:pStyle w:val="44"/>
              <w:rPr>
                <w:bCs w:val="0"/>
                <w:color w:val="auto"/>
              </w:rPr>
            </w:pPr>
            <w:r>
              <w:rPr>
                <w:rFonts w:hint="eastAsia"/>
                <w:bCs w:val="0"/>
                <w:color w:val="auto"/>
              </w:rPr>
              <w:t>0</w:t>
            </w:r>
            <w:r>
              <w:rPr>
                <w:bCs w:val="0"/>
                <w:color w:val="auto"/>
              </w:rPr>
              <w:t>.5</w:t>
            </w:r>
          </w:p>
        </w:tc>
      </w:tr>
      <w:tr>
        <w:tblPrEx>
          <w:tblCellMar>
            <w:top w:w="0" w:type="dxa"/>
            <w:left w:w="0" w:type="dxa"/>
            <w:bottom w:w="0" w:type="dxa"/>
            <w:right w:w="0" w:type="dxa"/>
          </w:tblCellMar>
        </w:tblPrEx>
        <w:trPr>
          <w:trHeight w:val="340" w:hRule="atLeast"/>
          <w:jc w:val="center"/>
        </w:trPr>
        <w:tc>
          <w:tcPr>
            <w:tcW w:w="8494" w:type="dxa"/>
            <w:gridSpan w:val="7"/>
            <w:tcBorders>
              <w:top w:val="single" w:color="000000" w:sz="4" w:space="0"/>
              <w:left w:val="single" w:color="000000" w:sz="4" w:space="0"/>
              <w:bottom w:val="single" w:color="000000" w:sz="4" w:space="0"/>
              <w:right w:val="single" w:color="000000" w:sz="4" w:space="0"/>
            </w:tcBorders>
            <w:vAlign w:val="center"/>
          </w:tcPr>
          <w:p>
            <w:pPr>
              <w:pStyle w:val="44"/>
              <w:jc w:val="both"/>
              <w:rPr>
                <w:b/>
                <w:bCs w:val="0"/>
                <w:color w:val="auto"/>
              </w:rPr>
            </w:pPr>
            <w:r>
              <w:rPr>
                <w:rFonts w:hint="eastAsia"/>
                <w:bCs w:val="0"/>
                <w:color w:val="auto"/>
              </w:rPr>
              <w:t>注：*括号外数值为水温&gt;12℃时的控制指标，括号内数值为水温≤12℃时的控制指标。</w:t>
            </w:r>
          </w:p>
        </w:tc>
      </w:tr>
    </w:tbl>
    <w:p>
      <w:pPr>
        <w:pStyle w:val="5"/>
        <w:spacing w:before="156" w:beforeLines="50"/>
      </w:pPr>
      <w:bookmarkStart w:id="73" w:name="_Toc24624"/>
      <w:bookmarkStart w:id="74" w:name="_Toc81808513"/>
      <w:r>
        <w:t>6.</w:t>
      </w:r>
      <w:r>
        <w:rPr>
          <w:rFonts w:hint="eastAsia"/>
        </w:rPr>
        <w:t>2</w:t>
      </w:r>
      <w:r>
        <w:t>废气</w:t>
      </w:r>
      <w:bookmarkEnd w:id="73"/>
      <w:bookmarkEnd w:id="74"/>
    </w:p>
    <w:p>
      <w:pPr>
        <w:ind w:firstLine="480"/>
      </w:pPr>
      <w:bookmarkStart w:id="75" w:name="_Toc14132"/>
      <w:r>
        <w:rPr>
          <w:rFonts w:hint="eastAsia"/>
        </w:rPr>
        <w:t>本项目已实施部分在生产过程中产生的废气主要为复合工序产生的复合废气（主要污染物为非甲烷总烃、臭气浓度）、涂层工序产生的涂层废气（主要污染物为非甲烷总烃、臭气浓度）、调浆工序产生的调浆废气（主要污染物为非甲烷总烃）、天然气燃烧产生的燃气废气（主要污染物为SO</w:t>
      </w:r>
      <w:r>
        <w:rPr>
          <w:rFonts w:hint="eastAsia"/>
          <w:vertAlign w:val="subscript"/>
        </w:rPr>
        <w:t>2</w:t>
      </w:r>
      <w:r>
        <w:rPr>
          <w:rFonts w:hint="eastAsia"/>
        </w:rPr>
        <w:t>、NOx、烟尘）以及恶臭。</w:t>
      </w:r>
    </w:p>
    <w:p>
      <w:pPr>
        <w:ind w:firstLine="480"/>
      </w:pPr>
      <w:r>
        <w:rPr>
          <w:rFonts w:hint="eastAsia"/>
        </w:rPr>
        <w:t>本项目复合废气（主要污染物为非甲烷总烃、臭气浓度）、涂层废气（主要污染物为非甲烷总烃、臭气浓度）污染物有组织排放执行《纺织染整工业大气污染物排放标准》（DB</w:t>
      </w:r>
      <w:r>
        <w:t>33/962-2015</w:t>
      </w:r>
      <w:r>
        <w:rPr>
          <w:rFonts w:hint="eastAsia"/>
        </w:rPr>
        <w:t>）表1规定的新建企业相关排放限值，具体见表6</w:t>
      </w:r>
      <w:r>
        <w:t>-3</w:t>
      </w:r>
      <w:r>
        <w:rPr>
          <w:rFonts w:hint="eastAsia"/>
        </w:rPr>
        <w:t>。</w:t>
      </w:r>
    </w:p>
    <w:p>
      <w:pPr>
        <w:pStyle w:val="38"/>
        <w:rPr>
          <w:color w:val="auto"/>
        </w:rPr>
      </w:pPr>
      <w:r>
        <w:rPr>
          <w:rFonts w:hint="eastAsia"/>
          <w:color w:val="auto"/>
        </w:rPr>
        <w:t>表</w:t>
      </w:r>
      <w:r>
        <w:rPr>
          <w:color w:val="auto"/>
        </w:rPr>
        <w:t xml:space="preserve">6-3  </w:t>
      </w:r>
      <w:r>
        <w:rPr>
          <w:rFonts w:hint="eastAsia"/>
          <w:color w:val="auto"/>
        </w:rPr>
        <w:t>《纺织染整工业大气污染物排放标准》（DB33/962-2015）</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2776"/>
        <w:gridCol w:w="1392"/>
        <w:gridCol w:w="1814"/>
        <w:gridCol w:w="1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pct"/>
            <w:vMerge w:val="restart"/>
            <w:vAlign w:val="center"/>
          </w:tcPr>
          <w:p>
            <w:pPr>
              <w:pStyle w:val="43"/>
              <w:rPr>
                <w:b/>
                <w:bCs/>
                <w:color w:val="auto"/>
              </w:rPr>
            </w:pPr>
            <w:r>
              <w:rPr>
                <w:rFonts w:hint="eastAsia"/>
                <w:b/>
                <w:bCs/>
                <w:color w:val="auto"/>
              </w:rPr>
              <w:t>序号</w:t>
            </w:r>
          </w:p>
        </w:tc>
        <w:tc>
          <w:tcPr>
            <w:tcW w:w="1592" w:type="pct"/>
            <w:vMerge w:val="restart"/>
            <w:vAlign w:val="center"/>
          </w:tcPr>
          <w:p>
            <w:pPr>
              <w:pStyle w:val="43"/>
              <w:rPr>
                <w:b/>
                <w:bCs/>
                <w:color w:val="auto"/>
              </w:rPr>
            </w:pPr>
            <w:r>
              <w:rPr>
                <w:rFonts w:hint="eastAsia"/>
                <w:b/>
                <w:bCs/>
                <w:color w:val="auto"/>
              </w:rPr>
              <w:t>污染物项目</w:t>
            </w:r>
          </w:p>
        </w:tc>
        <w:tc>
          <w:tcPr>
            <w:tcW w:w="798" w:type="pct"/>
            <w:vMerge w:val="restart"/>
            <w:vAlign w:val="center"/>
          </w:tcPr>
          <w:p>
            <w:pPr>
              <w:pStyle w:val="43"/>
              <w:rPr>
                <w:b/>
                <w:bCs/>
                <w:color w:val="auto"/>
              </w:rPr>
            </w:pPr>
            <w:r>
              <w:rPr>
                <w:rFonts w:hint="eastAsia"/>
                <w:b/>
                <w:bCs/>
                <w:color w:val="auto"/>
              </w:rPr>
              <w:t>适用范围</w:t>
            </w:r>
          </w:p>
        </w:tc>
        <w:tc>
          <w:tcPr>
            <w:tcW w:w="1040" w:type="pct"/>
            <w:vAlign w:val="center"/>
          </w:tcPr>
          <w:p>
            <w:pPr>
              <w:pStyle w:val="43"/>
              <w:rPr>
                <w:b/>
                <w:bCs/>
                <w:color w:val="auto"/>
              </w:rPr>
            </w:pPr>
            <w:r>
              <w:rPr>
                <w:rFonts w:hint="eastAsia"/>
                <w:b/>
                <w:bCs/>
                <w:color w:val="auto"/>
              </w:rPr>
              <w:t>排放限值</w:t>
            </w:r>
          </w:p>
        </w:tc>
        <w:tc>
          <w:tcPr>
            <w:tcW w:w="1000" w:type="pct"/>
            <w:vMerge w:val="restart"/>
            <w:vAlign w:val="center"/>
          </w:tcPr>
          <w:p>
            <w:pPr>
              <w:pStyle w:val="43"/>
              <w:rPr>
                <w:b/>
                <w:bCs/>
                <w:color w:val="auto"/>
              </w:rPr>
            </w:pPr>
            <w:r>
              <w:rPr>
                <w:rFonts w:hint="eastAsia"/>
                <w:b/>
                <w:bCs/>
                <w:color w:val="auto"/>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pct"/>
            <w:vMerge w:val="continue"/>
            <w:vAlign w:val="center"/>
          </w:tcPr>
          <w:p>
            <w:pPr>
              <w:pStyle w:val="43"/>
              <w:rPr>
                <w:color w:val="auto"/>
              </w:rPr>
            </w:pPr>
          </w:p>
        </w:tc>
        <w:tc>
          <w:tcPr>
            <w:tcW w:w="1592" w:type="pct"/>
            <w:vMerge w:val="continue"/>
            <w:vAlign w:val="center"/>
          </w:tcPr>
          <w:p>
            <w:pPr>
              <w:pStyle w:val="43"/>
              <w:rPr>
                <w:color w:val="auto"/>
              </w:rPr>
            </w:pPr>
          </w:p>
        </w:tc>
        <w:tc>
          <w:tcPr>
            <w:tcW w:w="798" w:type="pct"/>
            <w:vMerge w:val="continue"/>
            <w:vAlign w:val="center"/>
          </w:tcPr>
          <w:p>
            <w:pPr>
              <w:pStyle w:val="43"/>
              <w:rPr>
                <w:color w:val="auto"/>
              </w:rPr>
            </w:pPr>
          </w:p>
        </w:tc>
        <w:tc>
          <w:tcPr>
            <w:tcW w:w="1040" w:type="pct"/>
            <w:vAlign w:val="center"/>
          </w:tcPr>
          <w:p>
            <w:pPr>
              <w:pStyle w:val="43"/>
              <w:rPr>
                <w:b/>
                <w:bCs/>
                <w:color w:val="auto"/>
              </w:rPr>
            </w:pPr>
            <w:r>
              <w:rPr>
                <w:rFonts w:hint="eastAsia"/>
                <w:b/>
                <w:bCs/>
                <w:color w:val="auto"/>
              </w:rPr>
              <w:t>新建企业</w:t>
            </w:r>
          </w:p>
        </w:tc>
        <w:tc>
          <w:tcPr>
            <w:tcW w:w="1000" w:type="pct"/>
            <w:vMerge w:val="continue"/>
            <w:vAlign w:val="center"/>
          </w:tcPr>
          <w:p>
            <w:pPr>
              <w:pStyle w:val="43"/>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70" w:type="pct"/>
            <w:vAlign w:val="center"/>
          </w:tcPr>
          <w:p>
            <w:pPr>
              <w:pStyle w:val="43"/>
              <w:rPr>
                <w:bCs/>
                <w:color w:val="auto"/>
              </w:rPr>
            </w:pPr>
            <w:r>
              <w:rPr>
                <w:rFonts w:hint="eastAsia"/>
                <w:bCs/>
                <w:color w:val="auto"/>
              </w:rPr>
              <w:t>1</w:t>
            </w:r>
          </w:p>
        </w:tc>
        <w:tc>
          <w:tcPr>
            <w:tcW w:w="1592" w:type="pct"/>
            <w:vAlign w:val="center"/>
          </w:tcPr>
          <w:p>
            <w:pPr>
              <w:pStyle w:val="43"/>
              <w:rPr>
                <w:bCs/>
                <w:color w:val="auto"/>
              </w:rPr>
            </w:pPr>
            <w:r>
              <w:rPr>
                <w:bCs/>
                <w:color w:val="auto"/>
              </w:rPr>
              <w:t>VOCs</w:t>
            </w:r>
          </w:p>
        </w:tc>
        <w:tc>
          <w:tcPr>
            <w:tcW w:w="798" w:type="pct"/>
            <w:vMerge w:val="restart"/>
            <w:vAlign w:val="center"/>
          </w:tcPr>
          <w:p>
            <w:pPr>
              <w:pStyle w:val="43"/>
              <w:rPr>
                <w:bCs/>
                <w:color w:val="auto"/>
              </w:rPr>
            </w:pPr>
            <w:r>
              <w:rPr>
                <w:rFonts w:hint="eastAsia"/>
                <w:bCs/>
                <w:color w:val="auto"/>
              </w:rPr>
              <w:t>所有企业</w:t>
            </w:r>
          </w:p>
        </w:tc>
        <w:tc>
          <w:tcPr>
            <w:tcW w:w="1040" w:type="pct"/>
            <w:tcBorders>
              <w:top w:val="single" w:color="auto" w:sz="4" w:space="0"/>
              <w:left w:val="single" w:color="auto" w:sz="4" w:space="0"/>
              <w:bottom w:val="single" w:color="auto" w:sz="4" w:space="0"/>
              <w:right w:val="single" w:color="auto" w:sz="4" w:space="0"/>
            </w:tcBorders>
            <w:vAlign w:val="center"/>
          </w:tcPr>
          <w:p>
            <w:pPr>
              <w:pStyle w:val="43"/>
              <w:rPr>
                <w:bCs/>
                <w:color w:val="auto"/>
              </w:rPr>
            </w:pPr>
            <w:r>
              <w:rPr>
                <w:rFonts w:hint="eastAsia"/>
                <w:bCs/>
                <w:color w:val="auto"/>
              </w:rPr>
              <w:t>4</w:t>
            </w:r>
            <w:r>
              <w:rPr>
                <w:bCs/>
                <w:color w:val="auto"/>
              </w:rPr>
              <w:t>0</w:t>
            </w:r>
            <w:r>
              <w:rPr>
                <w:rFonts w:hint="eastAsia"/>
                <w:bCs/>
                <w:color w:val="auto"/>
              </w:rPr>
              <w:t>（8</w:t>
            </w:r>
            <w:r>
              <w:rPr>
                <w:bCs/>
                <w:color w:val="auto"/>
              </w:rPr>
              <w:t>0</w:t>
            </w:r>
            <w:r>
              <w:rPr>
                <w:rFonts w:hint="eastAsia"/>
                <w:bCs/>
                <w:color w:val="auto"/>
              </w:rPr>
              <w:t>）*</w:t>
            </w:r>
          </w:p>
        </w:tc>
        <w:tc>
          <w:tcPr>
            <w:tcW w:w="1000" w:type="pct"/>
            <w:vMerge w:val="restart"/>
            <w:vAlign w:val="center"/>
          </w:tcPr>
          <w:p>
            <w:pPr>
              <w:pStyle w:val="43"/>
              <w:rPr>
                <w:bCs/>
                <w:color w:val="auto"/>
              </w:rPr>
            </w:pPr>
            <w:r>
              <w:rPr>
                <w:rFonts w:hint="eastAsia"/>
                <w:bCs/>
                <w:color w:val="auto"/>
              </w:rPr>
              <w:t>车间或生产设施排气筒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0" w:type="pct"/>
            <w:vAlign w:val="center"/>
          </w:tcPr>
          <w:p>
            <w:pPr>
              <w:pStyle w:val="43"/>
              <w:rPr>
                <w:bCs/>
                <w:color w:val="auto"/>
              </w:rPr>
            </w:pPr>
            <w:r>
              <w:rPr>
                <w:rFonts w:hint="eastAsia"/>
                <w:bCs/>
                <w:color w:val="auto"/>
              </w:rPr>
              <w:t>2</w:t>
            </w:r>
          </w:p>
        </w:tc>
        <w:tc>
          <w:tcPr>
            <w:tcW w:w="1592" w:type="pct"/>
            <w:vAlign w:val="center"/>
          </w:tcPr>
          <w:p>
            <w:pPr>
              <w:pStyle w:val="43"/>
              <w:rPr>
                <w:bCs/>
                <w:color w:val="auto"/>
              </w:rPr>
            </w:pPr>
            <w:r>
              <w:rPr>
                <w:rFonts w:hint="eastAsia"/>
                <w:bCs/>
                <w:color w:val="auto"/>
              </w:rPr>
              <w:t>臭气浓度（无量纲）</w:t>
            </w:r>
          </w:p>
        </w:tc>
        <w:tc>
          <w:tcPr>
            <w:tcW w:w="798" w:type="pct"/>
            <w:vMerge w:val="continue"/>
            <w:vAlign w:val="center"/>
          </w:tcPr>
          <w:p>
            <w:pPr>
              <w:pStyle w:val="43"/>
              <w:rPr>
                <w:bCs/>
                <w:color w:val="auto"/>
              </w:rPr>
            </w:pPr>
          </w:p>
        </w:tc>
        <w:tc>
          <w:tcPr>
            <w:tcW w:w="1040"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300</w:t>
            </w:r>
          </w:p>
        </w:tc>
        <w:tc>
          <w:tcPr>
            <w:tcW w:w="1000" w:type="pct"/>
            <w:vMerge w:val="continue"/>
            <w:vAlign w:val="center"/>
          </w:tcPr>
          <w:p>
            <w:pPr>
              <w:pStyle w:val="43"/>
              <w:rPr>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pStyle w:val="43"/>
              <w:jc w:val="left"/>
              <w:rPr>
                <w:bCs/>
                <w:color w:val="auto"/>
              </w:rPr>
            </w:pPr>
            <w:r>
              <w:rPr>
                <w:bCs/>
                <w:color w:val="auto"/>
              </w:rPr>
              <w:t>注</w:t>
            </w:r>
            <w:r>
              <w:rPr>
                <w:rFonts w:hint="eastAsia"/>
                <w:bCs/>
                <w:color w:val="auto"/>
              </w:rPr>
              <w:t>：*括号内排放限值适用于涂层整理企业或生产设施。</w:t>
            </w:r>
          </w:p>
        </w:tc>
      </w:tr>
    </w:tbl>
    <w:p>
      <w:pPr>
        <w:ind w:firstLine="480"/>
      </w:pPr>
      <w:r>
        <w:rPr>
          <w:rFonts w:hint="eastAsia"/>
        </w:rPr>
        <w:t>本项目天然气燃烧的燃气废气属于未制定行业标准的其他炉窑废气，根据《关于印发&lt;工业炉窑大气污染综合治理方案&gt;的通知》（环大气[2019]56号）和《浙江省工业炉窑大气污染综合治理方案》（浙环函[2019]315号）相关要求，未制定行业标准的其他炉窑污染物排放原则上按照颗粒物、SO</w:t>
      </w:r>
      <w:r>
        <w:rPr>
          <w:rFonts w:hint="eastAsia"/>
          <w:vertAlign w:val="subscript"/>
        </w:rPr>
        <w:t>2</w:t>
      </w:r>
      <w:r>
        <w:rPr>
          <w:rFonts w:hint="eastAsia"/>
        </w:rPr>
        <w:t>、NOx排放限值分别不高于3</w:t>
      </w:r>
      <w:r>
        <w:t>0</w:t>
      </w:r>
      <w:r>
        <w:rPr>
          <w:rFonts w:hint="eastAsia"/>
        </w:rPr>
        <w:t xml:space="preserve"> mg/m³、200mg/m³、300mg/m³执行，具体见表</w:t>
      </w:r>
      <w:r>
        <w:t>6-4</w:t>
      </w:r>
      <w:r>
        <w:rPr>
          <w:rFonts w:hint="eastAsia"/>
        </w:rPr>
        <w:t>。</w:t>
      </w:r>
    </w:p>
    <w:p>
      <w:pPr>
        <w:pStyle w:val="38"/>
        <w:rPr>
          <w:color w:val="auto"/>
        </w:rPr>
      </w:pPr>
      <w:r>
        <w:rPr>
          <w:rFonts w:hint="eastAsia"/>
          <w:color w:val="auto"/>
        </w:rPr>
        <w:t>表</w:t>
      </w:r>
      <w:r>
        <w:rPr>
          <w:color w:val="auto"/>
        </w:rPr>
        <w:t>6-4</w:t>
      </w:r>
      <w:r>
        <w:rPr>
          <w:rFonts w:hint="eastAsia"/>
          <w:color w:val="auto"/>
        </w:rPr>
        <w:t xml:space="preserve"> </w:t>
      </w:r>
      <w:r>
        <w:rPr>
          <w:color w:val="auto"/>
        </w:rPr>
        <w:t xml:space="preserve"> </w:t>
      </w:r>
      <w:r>
        <w:rPr>
          <w:rFonts w:hint="eastAsia"/>
          <w:color w:val="auto"/>
        </w:rPr>
        <w:t>未制定行业标准的其他炉窑废气污染物排放限值</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4200"/>
        <w:gridCol w:w="3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pStyle w:val="43"/>
              <w:rPr>
                <w:b/>
                <w:bCs/>
                <w:color w:val="auto"/>
              </w:rPr>
            </w:pPr>
            <w:r>
              <w:rPr>
                <w:rFonts w:hint="eastAsia"/>
                <w:b/>
                <w:bCs/>
                <w:color w:val="auto"/>
              </w:rPr>
              <w:t>序号</w:t>
            </w:r>
          </w:p>
        </w:tc>
        <w:tc>
          <w:tcPr>
            <w:tcW w:w="2408" w:type="pct"/>
            <w:vAlign w:val="center"/>
          </w:tcPr>
          <w:p>
            <w:pPr>
              <w:pStyle w:val="43"/>
              <w:rPr>
                <w:b/>
                <w:bCs/>
                <w:color w:val="auto"/>
              </w:rPr>
            </w:pPr>
            <w:r>
              <w:rPr>
                <w:rFonts w:hint="eastAsia"/>
                <w:b/>
                <w:bCs/>
                <w:color w:val="auto"/>
              </w:rPr>
              <w:t>污染物项目</w:t>
            </w:r>
          </w:p>
        </w:tc>
        <w:tc>
          <w:tcPr>
            <w:tcW w:w="1794" w:type="pct"/>
            <w:vAlign w:val="center"/>
          </w:tcPr>
          <w:p>
            <w:pPr>
              <w:pStyle w:val="43"/>
              <w:rPr>
                <w:b/>
                <w:bCs/>
                <w:color w:val="auto"/>
              </w:rPr>
            </w:pPr>
            <w:r>
              <w:rPr>
                <w:rFonts w:hint="eastAsia"/>
                <w:b/>
                <w:bCs/>
                <w:color w:val="auto"/>
              </w:rPr>
              <w:t>标准限值（mg</w:t>
            </w:r>
            <w:r>
              <w:rPr>
                <w:b/>
                <w:bCs/>
                <w:color w:val="auto"/>
              </w:rPr>
              <w:t>/</w:t>
            </w:r>
            <w:r>
              <w:rPr>
                <w:rFonts w:hint="eastAsia"/>
                <w:b/>
                <w:bCs/>
                <w:color w:val="auto"/>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pStyle w:val="43"/>
              <w:rPr>
                <w:color w:val="auto"/>
              </w:rPr>
            </w:pPr>
            <w:r>
              <w:rPr>
                <w:rFonts w:hint="eastAsia"/>
                <w:color w:val="auto"/>
              </w:rPr>
              <w:t>1</w:t>
            </w:r>
          </w:p>
        </w:tc>
        <w:tc>
          <w:tcPr>
            <w:tcW w:w="2408" w:type="pct"/>
            <w:vAlign w:val="center"/>
          </w:tcPr>
          <w:p>
            <w:pPr>
              <w:pStyle w:val="43"/>
              <w:rPr>
                <w:color w:val="auto"/>
              </w:rPr>
            </w:pPr>
            <w:r>
              <w:rPr>
                <w:rFonts w:hint="eastAsia"/>
                <w:color w:val="auto"/>
              </w:rPr>
              <w:t>颗粒物</w:t>
            </w:r>
          </w:p>
        </w:tc>
        <w:tc>
          <w:tcPr>
            <w:tcW w:w="1794" w:type="pct"/>
            <w:vAlign w:val="center"/>
          </w:tcPr>
          <w:p>
            <w:pPr>
              <w:pStyle w:val="43"/>
              <w:rPr>
                <w:color w:val="auto"/>
              </w:rPr>
            </w:pPr>
            <w:r>
              <w:rPr>
                <w:rFonts w:hint="eastAsia"/>
                <w:color w:val="auto"/>
              </w:rPr>
              <w:t>3</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pStyle w:val="43"/>
              <w:rPr>
                <w:color w:val="auto"/>
              </w:rPr>
            </w:pPr>
            <w:r>
              <w:rPr>
                <w:rFonts w:hint="eastAsia"/>
                <w:color w:val="auto"/>
              </w:rPr>
              <w:t>2</w:t>
            </w:r>
          </w:p>
        </w:tc>
        <w:tc>
          <w:tcPr>
            <w:tcW w:w="2408" w:type="pct"/>
            <w:vAlign w:val="center"/>
          </w:tcPr>
          <w:p>
            <w:pPr>
              <w:pStyle w:val="43"/>
              <w:rPr>
                <w:color w:val="auto"/>
              </w:rPr>
            </w:pPr>
            <w:r>
              <w:rPr>
                <w:rFonts w:hint="eastAsia"/>
                <w:color w:val="auto"/>
              </w:rPr>
              <w:t>二氧化硫</w:t>
            </w:r>
          </w:p>
        </w:tc>
        <w:tc>
          <w:tcPr>
            <w:tcW w:w="1794" w:type="pct"/>
            <w:vAlign w:val="center"/>
          </w:tcPr>
          <w:p>
            <w:pPr>
              <w:pStyle w:val="43"/>
              <w:rPr>
                <w:color w:val="auto"/>
              </w:rPr>
            </w:pPr>
            <w:r>
              <w:rPr>
                <w:color w:val="auto"/>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pct"/>
            <w:vAlign w:val="center"/>
          </w:tcPr>
          <w:p>
            <w:pPr>
              <w:pStyle w:val="43"/>
              <w:rPr>
                <w:color w:val="auto"/>
              </w:rPr>
            </w:pPr>
            <w:r>
              <w:rPr>
                <w:rFonts w:hint="eastAsia"/>
                <w:color w:val="auto"/>
              </w:rPr>
              <w:t>3</w:t>
            </w:r>
          </w:p>
        </w:tc>
        <w:tc>
          <w:tcPr>
            <w:tcW w:w="2408" w:type="pct"/>
            <w:vAlign w:val="center"/>
          </w:tcPr>
          <w:p>
            <w:pPr>
              <w:pStyle w:val="43"/>
              <w:rPr>
                <w:color w:val="auto"/>
              </w:rPr>
            </w:pPr>
            <w:r>
              <w:rPr>
                <w:rFonts w:hint="eastAsia"/>
                <w:color w:val="auto"/>
              </w:rPr>
              <w:t>氮氧化物</w:t>
            </w:r>
          </w:p>
        </w:tc>
        <w:tc>
          <w:tcPr>
            <w:tcW w:w="1794" w:type="pct"/>
            <w:vAlign w:val="center"/>
          </w:tcPr>
          <w:p>
            <w:pPr>
              <w:pStyle w:val="43"/>
              <w:rPr>
                <w:color w:val="auto"/>
              </w:rPr>
            </w:pPr>
            <w:r>
              <w:rPr>
                <w:color w:val="auto"/>
              </w:rPr>
              <w:t>300</w:t>
            </w:r>
          </w:p>
        </w:tc>
      </w:tr>
    </w:tbl>
    <w:p>
      <w:pPr>
        <w:ind w:firstLine="480"/>
      </w:pPr>
      <w:r>
        <w:rPr>
          <w:rFonts w:hint="eastAsia"/>
        </w:rPr>
        <w:t>本项目恶臭污染物臭气浓度无组织排放执行《纺织染整工业大气污染物排放标准》（D</w:t>
      </w:r>
      <w:r>
        <w:t>B33/962-2015</w:t>
      </w:r>
      <w:r>
        <w:rPr>
          <w:rFonts w:hint="eastAsia"/>
        </w:rPr>
        <w:t>）表2</w:t>
      </w:r>
      <w:r>
        <w:t xml:space="preserve"> 规定的相关限制</w:t>
      </w:r>
      <w:r>
        <w:rPr>
          <w:rFonts w:hint="eastAsia"/>
        </w:rPr>
        <w:t>；</w:t>
      </w:r>
      <w:r>
        <w:t>非甲烷总烃</w:t>
      </w:r>
      <w:r>
        <w:rPr>
          <w:rFonts w:hint="eastAsia"/>
        </w:rPr>
        <w:t>、</w:t>
      </w:r>
      <w:r>
        <w:t>颗粒物无组织排放标准执行</w:t>
      </w:r>
      <w:r>
        <w:rPr>
          <w:rFonts w:hint="eastAsia"/>
        </w:rPr>
        <w:t>《大气污染物综合排放标准》（G</w:t>
      </w:r>
      <w:r>
        <w:t>B16297-1996</w:t>
      </w:r>
      <w:r>
        <w:rPr>
          <w:rFonts w:hint="eastAsia"/>
        </w:rPr>
        <w:t>）表2中的无组织排放监控浓度限值，具体见表</w:t>
      </w:r>
      <w:r>
        <w:t>6-5</w:t>
      </w:r>
      <w:r>
        <w:rPr>
          <w:rFonts w:hint="eastAsia"/>
        </w:rPr>
        <w:t>。</w:t>
      </w:r>
    </w:p>
    <w:p>
      <w:pPr>
        <w:pStyle w:val="38"/>
        <w:rPr>
          <w:color w:val="auto"/>
        </w:rPr>
      </w:pPr>
      <w:r>
        <w:rPr>
          <w:rFonts w:hint="eastAsia"/>
          <w:color w:val="auto"/>
        </w:rPr>
        <w:t>表</w:t>
      </w:r>
      <w:r>
        <w:rPr>
          <w:color w:val="auto"/>
        </w:rPr>
        <w:t xml:space="preserve">6-5  </w:t>
      </w:r>
      <w:r>
        <w:rPr>
          <w:rFonts w:hint="eastAsia"/>
          <w:color w:val="auto"/>
        </w:rPr>
        <w:t>大气污染物无组织排放监控浓度限值</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4111"/>
        <w:gridCol w:w="3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序号</w:t>
            </w:r>
          </w:p>
        </w:tc>
        <w:tc>
          <w:tcPr>
            <w:tcW w:w="2357" w:type="pct"/>
            <w:tcBorders>
              <w:top w:val="single" w:color="auto" w:sz="4" w:space="0"/>
              <w:left w:val="single" w:color="auto" w:sz="4" w:space="0"/>
              <w:bottom w:val="single" w:color="auto" w:sz="4" w:space="0"/>
              <w:right w:val="single" w:color="auto" w:sz="4" w:space="0"/>
            </w:tcBorders>
            <w:vAlign w:val="center"/>
          </w:tcPr>
          <w:p>
            <w:pPr>
              <w:pStyle w:val="43"/>
              <w:rPr>
                <w:b/>
                <w:bCs/>
                <w:color w:val="auto"/>
                <w:szCs w:val="18"/>
              </w:rPr>
            </w:pPr>
            <w:r>
              <w:rPr>
                <w:rFonts w:hint="eastAsia"/>
                <w:b/>
                <w:bCs/>
                <w:color w:val="auto"/>
                <w:szCs w:val="18"/>
              </w:rPr>
              <w:t>污染物项目</w:t>
            </w:r>
          </w:p>
        </w:tc>
        <w:tc>
          <w:tcPr>
            <w:tcW w:w="1849" w:type="pct"/>
            <w:tcBorders>
              <w:top w:val="single" w:color="auto" w:sz="4" w:space="0"/>
              <w:left w:val="single" w:color="auto" w:sz="4" w:space="0"/>
              <w:bottom w:val="single" w:color="auto" w:sz="4" w:space="0"/>
              <w:right w:val="single" w:color="auto" w:sz="4" w:space="0"/>
            </w:tcBorders>
            <w:vAlign w:val="center"/>
          </w:tcPr>
          <w:p>
            <w:pPr>
              <w:pStyle w:val="43"/>
              <w:rPr>
                <w:b/>
                <w:bCs/>
                <w:color w:val="auto"/>
                <w:szCs w:val="18"/>
              </w:rPr>
            </w:pPr>
            <w:r>
              <w:rPr>
                <w:rFonts w:hint="eastAsia"/>
                <w:b/>
                <w:bCs/>
                <w:color w:val="auto"/>
                <w:szCs w:val="18"/>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2357"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rFonts w:hint="eastAsia"/>
                <w:color w:val="auto"/>
                <w:szCs w:val="18"/>
              </w:rPr>
              <w:t>臭气浓度</w:t>
            </w:r>
          </w:p>
        </w:tc>
        <w:tc>
          <w:tcPr>
            <w:tcW w:w="1849"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color w:val="auto"/>
                <w:szCs w:val="18"/>
              </w:rPr>
              <w:t>20</w:t>
            </w:r>
            <w:r>
              <w:rPr>
                <w:rFonts w:hint="eastAsia"/>
                <w:color w:val="auto"/>
                <w:szCs w:val="18"/>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2</w:t>
            </w:r>
          </w:p>
        </w:tc>
        <w:tc>
          <w:tcPr>
            <w:tcW w:w="2357"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rFonts w:hint="eastAsia"/>
                <w:color w:val="auto"/>
                <w:szCs w:val="18"/>
              </w:rPr>
              <w:t>颗粒物</w:t>
            </w:r>
          </w:p>
        </w:tc>
        <w:tc>
          <w:tcPr>
            <w:tcW w:w="184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szCs w:val="18"/>
              </w:rPr>
              <w:t>1</w:t>
            </w:r>
            <w:r>
              <w:rPr>
                <w:color w:val="auto"/>
                <w:szCs w:val="18"/>
              </w:rPr>
              <w:t>.0</w:t>
            </w:r>
            <w:r>
              <w:rPr>
                <w:rFonts w:eastAsia="宋体"/>
                <w:color w:val="auto"/>
                <w:szCs w:val="24"/>
              </w:rPr>
              <w:t xml:space="preserve"> 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3</w:t>
            </w:r>
          </w:p>
        </w:tc>
        <w:tc>
          <w:tcPr>
            <w:tcW w:w="2357"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rFonts w:hint="eastAsia"/>
                <w:color w:val="auto"/>
                <w:szCs w:val="18"/>
              </w:rPr>
              <w:t>非甲烷总烃</w:t>
            </w:r>
          </w:p>
        </w:tc>
        <w:tc>
          <w:tcPr>
            <w:tcW w:w="1849"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szCs w:val="18"/>
              </w:rPr>
              <w:t>4</w:t>
            </w:r>
            <w:r>
              <w:rPr>
                <w:color w:val="auto"/>
                <w:szCs w:val="18"/>
              </w:rPr>
              <w:t>.0</w:t>
            </w:r>
            <w:r>
              <w:rPr>
                <w:rFonts w:eastAsia="宋体"/>
                <w:color w:val="auto"/>
                <w:szCs w:val="24"/>
              </w:rPr>
              <w:t xml:space="preserve"> mg/m³</w:t>
            </w:r>
          </w:p>
        </w:tc>
      </w:tr>
    </w:tbl>
    <w:p>
      <w:pPr>
        <w:ind w:firstLine="480"/>
      </w:pPr>
      <w:bookmarkStart w:id="76" w:name="_Toc81808514"/>
      <w:r>
        <w:t>本项目生产过程产生的以无组织部分排放的</w:t>
      </w:r>
      <w:r>
        <w:rPr>
          <w:rFonts w:hint="eastAsia"/>
        </w:rPr>
        <w:t>V</w:t>
      </w:r>
      <w:r>
        <w:t>OCs在厂区内扩散</w:t>
      </w:r>
      <w:r>
        <w:rPr>
          <w:rFonts w:hint="eastAsia"/>
        </w:rPr>
        <w:t>，</w:t>
      </w:r>
      <w:r>
        <w:t>厂区内监测点浓度执行</w:t>
      </w:r>
      <w:r>
        <w:rPr>
          <w:rFonts w:hint="eastAsia"/>
        </w:rPr>
        <w:t>《挥发性有机物无组织排放控制标准》（G</w:t>
      </w:r>
      <w:r>
        <w:t>B37822-2019</w:t>
      </w:r>
      <w:r>
        <w:rPr>
          <w:rFonts w:hint="eastAsia"/>
        </w:rPr>
        <w:t>），具体见表6</w:t>
      </w:r>
      <w:r>
        <w:t>-6</w:t>
      </w:r>
      <w:r>
        <w:rPr>
          <w:rFonts w:hint="eastAsia"/>
        </w:rPr>
        <w:t>。</w:t>
      </w:r>
    </w:p>
    <w:p>
      <w:pPr>
        <w:pStyle w:val="38"/>
        <w:rPr>
          <w:color w:val="auto"/>
        </w:rPr>
      </w:pPr>
      <w:r>
        <w:rPr>
          <w:rFonts w:hint="eastAsia"/>
          <w:color w:val="auto"/>
        </w:rPr>
        <w:t>表</w:t>
      </w:r>
      <w:r>
        <w:rPr>
          <w:color w:val="auto"/>
        </w:rPr>
        <w:t xml:space="preserve">6-6  </w:t>
      </w:r>
      <w:r>
        <w:rPr>
          <w:rFonts w:hint="eastAsia"/>
          <w:color w:val="auto"/>
        </w:rPr>
        <w:t>《挥发性有机物无组织排放控制标准》（G</w:t>
      </w:r>
      <w:r>
        <w:rPr>
          <w:color w:val="auto"/>
        </w:rPr>
        <w:t>B37822-2019</w:t>
      </w:r>
      <w:r>
        <w:rPr>
          <w:rFonts w:hint="eastAsia"/>
          <w:color w:val="auto"/>
        </w:rPr>
        <w:t>）单位：</w:t>
      </w:r>
      <w:r>
        <w:rPr>
          <w:color w:val="auto"/>
        </w:rPr>
        <w:t>mg/m³</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985"/>
        <w:gridCol w:w="2551"/>
        <w:gridCol w:w="2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污染物项目</w:t>
            </w:r>
          </w:p>
        </w:tc>
        <w:tc>
          <w:tcPr>
            <w:tcW w:w="1138" w:type="pct"/>
            <w:tcBorders>
              <w:top w:val="single" w:color="auto" w:sz="4" w:space="0"/>
              <w:left w:val="single" w:color="auto" w:sz="4" w:space="0"/>
              <w:bottom w:val="single" w:color="auto" w:sz="4" w:space="0"/>
              <w:right w:val="single" w:color="auto" w:sz="4" w:space="0"/>
            </w:tcBorders>
            <w:vAlign w:val="center"/>
          </w:tcPr>
          <w:p>
            <w:pPr>
              <w:pStyle w:val="43"/>
              <w:rPr>
                <w:b/>
                <w:bCs/>
                <w:color w:val="auto"/>
                <w:szCs w:val="18"/>
              </w:rPr>
            </w:pPr>
            <w:r>
              <w:rPr>
                <w:rFonts w:hint="eastAsia"/>
                <w:b/>
                <w:bCs/>
                <w:color w:val="auto"/>
                <w:szCs w:val="18"/>
              </w:rPr>
              <w:t>特别排放限值</w:t>
            </w:r>
          </w:p>
        </w:tc>
        <w:tc>
          <w:tcPr>
            <w:tcW w:w="1463" w:type="pct"/>
            <w:tcBorders>
              <w:top w:val="single" w:color="auto" w:sz="4" w:space="0"/>
              <w:left w:val="single" w:color="auto" w:sz="4" w:space="0"/>
              <w:bottom w:val="single" w:color="auto" w:sz="4" w:space="0"/>
              <w:right w:val="single" w:color="auto" w:sz="4" w:space="0"/>
            </w:tcBorders>
            <w:vAlign w:val="center"/>
          </w:tcPr>
          <w:p>
            <w:pPr>
              <w:pStyle w:val="43"/>
              <w:rPr>
                <w:b/>
                <w:bCs/>
                <w:color w:val="auto"/>
                <w:szCs w:val="18"/>
              </w:rPr>
            </w:pPr>
            <w:r>
              <w:rPr>
                <w:b/>
                <w:bCs/>
                <w:color w:val="auto"/>
                <w:szCs w:val="18"/>
              </w:rPr>
              <w:t>限值含义</w:t>
            </w:r>
          </w:p>
        </w:tc>
        <w:tc>
          <w:tcPr>
            <w:tcW w:w="1605" w:type="pct"/>
            <w:tcBorders>
              <w:top w:val="single" w:color="auto" w:sz="4" w:space="0"/>
              <w:left w:val="single" w:color="auto" w:sz="4" w:space="0"/>
              <w:bottom w:val="single" w:color="auto" w:sz="4" w:space="0"/>
              <w:right w:val="single" w:color="auto" w:sz="4" w:space="0"/>
            </w:tcBorders>
            <w:vAlign w:val="center"/>
          </w:tcPr>
          <w:p>
            <w:pPr>
              <w:pStyle w:val="43"/>
              <w:rPr>
                <w:b/>
                <w:bCs/>
                <w:color w:val="auto"/>
                <w:szCs w:val="18"/>
              </w:rPr>
            </w:pPr>
            <w:r>
              <w:rPr>
                <w:rFonts w:hint="eastAsia"/>
                <w:b/>
                <w:bCs/>
                <w:color w:val="auto"/>
                <w:szCs w:val="18"/>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restart"/>
            <w:tcBorders>
              <w:top w:val="single" w:color="auto" w:sz="4" w:space="0"/>
              <w:left w:val="single" w:color="auto" w:sz="4" w:space="0"/>
              <w:right w:val="single" w:color="auto" w:sz="4" w:space="0"/>
            </w:tcBorders>
            <w:vAlign w:val="center"/>
          </w:tcPr>
          <w:p>
            <w:pPr>
              <w:pStyle w:val="43"/>
              <w:rPr>
                <w:color w:val="auto"/>
              </w:rPr>
            </w:pPr>
            <w:r>
              <w:rPr>
                <w:color w:val="auto"/>
              </w:rPr>
              <w:t>NMHC</w:t>
            </w:r>
          </w:p>
        </w:tc>
        <w:tc>
          <w:tcPr>
            <w:tcW w:w="1138"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rFonts w:hint="eastAsia"/>
                <w:color w:val="auto"/>
                <w:szCs w:val="18"/>
              </w:rPr>
              <w:t>6</w:t>
            </w:r>
          </w:p>
        </w:tc>
        <w:tc>
          <w:tcPr>
            <w:tcW w:w="1463"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color w:val="auto"/>
                <w:szCs w:val="18"/>
              </w:rPr>
              <w:t>监控点处</w:t>
            </w:r>
            <w:r>
              <w:rPr>
                <w:rFonts w:hint="eastAsia"/>
                <w:color w:val="auto"/>
                <w:szCs w:val="18"/>
              </w:rPr>
              <w:t>1</w:t>
            </w:r>
            <w:r>
              <w:rPr>
                <w:color w:val="auto"/>
                <w:szCs w:val="18"/>
              </w:rPr>
              <w:t>h平均浓度值</w:t>
            </w:r>
          </w:p>
        </w:tc>
        <w:tc>
          <w:tcPr>
            <w:tcW w:w="1605" w:type="pct"/>
            <w:vMerge w:val="restart"/>
            <w:tcBorders>
              <w:top w:val="single" w:color="auto" w:sz="4" w:space="0"/>
              <w:left w:val="single" w:color="auto" w:sz="4" w:space="0"/>
              <w:right w:val="single" w:color="auto" w:sz="4" w:space="0"/>
            </w:tcBorders>
            <w:vAlign w:val="center"/>
          </w:tcPr>
          <w:p>
            <w:pPr>
              <w:pStyle w:val="43"/>
              <w:rPr>
                <w:color w:val="auto"/>
                <w:szCs w:val="18"/>
              </w:rPr>
            </w:pPr>
            <w:r>
              <w:rPr>
                <w:color w:val="auto"/>
                <w:szCs w:val="18"/>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4" w:type="pct"/>
            <w:vMerge w:val="continue"/>
            <w:tcBorders>
              <w:left w:val="single" w:color="auto" w:sz="4" w:space="0"/>
              <w:bottom w:val="single" w:color="auto" w:sz="4" w:space="0"/>
              <w:right w:val="single" w:color="auto" w:sz="4" w:space="0"/>
            </w:tcBorders>
            <w:vAlign w:val="center"/>
          </w:tcPr>
          <w:p>
            <w:pPr>
              <w:pStyle w:val="43"/>
              <w:rPr>
                <w:color w:val="auto"/>
              </w:rPr>
            </w:pPr>
          </w:p>
        </w:tc>
        <w:tc>
          <w:tcPr>
            <w:tcW w:w="1138"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rFonts w:hint="eastAsia"/>
                <w:color w:val="auto"/>
                <w:szCs w:val="18"/>
              </w:rPr>
              <w:t>2</w:t>
            </w:r>
            <w:r>
              <w:rPr>
                <w:color w:val="auto"/>
                <w:szCs w:val="18"/>
              </w:rPr>
              <w:t>0</w:t>
            </w:r>
          </w:p>
        </w:tc>
        <w:tc>
          <w:tcPr>
            <w:tcW w:w="1463" w:type="pct"/>
            <w:tcBorders>
              <w:top w:val="single" w:color="auto" w:sz="4" w:space="0"/>
              <w:left w:val="single" w:color="auto" w:sz="4" w:space="0"/>
              <w:bottom w:val="single" w:color="auto" w:sz="4" w:space="0"/>
              <w:right w:val="single" w:color="auto" w:sz="4" w:space="0"/>
            </w:tcBorders>
            <w:vAlign w:val="center"/>
          </w:tcPr>
          <w:p>
            <w:pPr>
              <w:pStyle w:val="43"/>
              <w:rPr>
                <w:color w:val="auto"/>
                <w:szCs w:val="18"/>
              </w:rPr>
            </w:pPr>
            <w:r>
              <w:rPr>
                <w:color w:val="auto"/>
                <w:szCs w:val="18"/>
              </w:rPr>
              <w:t>监控点处任意一次浓度值</w:t>
            </w:r>
          </w:p>
        </w:tc>
        <w:tc>
          <w:tcPr>
            <w:tcW w:w="1605" w:type="pct"/>
            <w:vMerge w:val="continue"/>
            <w:tcBorders>
              <w:left w:val="single" w:color="auto" w:sz="4" w:space="0"/>
              <w:bottom w:val="single" w:color="auto" w:sz="4" w:space="0"/>
              <w:right w:val="single" w:color="auto" w:sz="4" w:space="0"/>
            </w:tcBorders>
            <w:vAlign w:val="center"/>
          </w:tcPr>
          <w:p>
            <w:pPr>
              <w:pStyle w:val="43"/>
              <w:rPr>
                <w:color w:val="auto"/>
              </w:rPr>
            </w:pPr>
          </w:p>
        </w:tc>
      </w:tr>
    </w:tbl>
    <w:p>
      <w:pPr>
        <w:pStyle w:val="5"/>
      </w:pPr>
      <w:r>
        <w:t>6.</w:t>
      </w:r>
      <w:r>
        <w:rPr>
          <w:rFonts w:hint="eastAsia"/>
        </w:rPr>
        <w:t>3</w:t>
      </w:r>
      <w:r>
        <w:t>噪声</w:t>
      </w:r>
      <w:bookmarkEnd w:id="75"/>
      <w:bookmarkEnd w:id="76"/>
    </w:p>
    <w:p>
      <w:pPr>
        <w:ind w:firstLine="480"/>
        <w:rPr>
          <w:rFonts w:cs="Times New Roman"/>
        </w:rPr>
      </w:pPr>
      <w:r>
        <w:rPr>
          <w:rFonts w:hint="eastAsia" w:cs="Times New Roman"/>
        </w:rPr>
        <w:t>本项目</w:t>
      </w:r>
      <w:r>
        <w:rPr>
          <w:rFonts w:cs="Times New Roman"/>
        </w:rPr>
        <w:t>厂界噪声执行《工业企业厂界环境噪声排放标准》（GB12348-2008）中的3类区标准，具体标准见表6-7</w:t>
      </w:r>
      <w:r>
        <w:rPr>
          <w:rFonts w:hint="eastAsia" w:cs="Times New Roman"/>
        </w:rPr>
        <w:t>。</w:t>
      </w:r>
    </w:p>
    <w:p>
      <w:pPr>
        <w:pStyle w:val="39"/>
        <w:spacing w:before="62" w:after="31"/>
        <w:rPr>
          <w:color w:val="auto"/>
        </w:rPr>
      </w:pPr>
      <w:r>
        <w:rPr>
          <w:rFonts w:hint="eastAsia"/>
          <w:color w:val="auto"/>
        </w:rPr>
        <w:t>表6-</w:t>
      </w:r>
      <w:r>
        <w:rPr>
          <w:color w:val="auto"/>
        </w:rPr>
        <w:t>7</w:t>
      </w:r>
      <w:r>
        <w:rPr>
          <w:rFonts w:hint="eastAsia"/>
          <w:color w:val="auto"/>
        </w:rPr>
        <w:t xml:space="preserve"> </w:t>
      </w:r>
      <w:r>
        <w:rPr>
          <w:color w:val="auto"/>
        </w:rPr>
        <w:t xml:space="preserve"> </w:t>
      </w:r>
      <w:r>
        <w:rPr>
          <w:rFonts w:hint="eastAsia"/>
          <w:color w:val="auto"/>
        </w:rPr>
        <w:t>《</w:t>
      </w:r>
      <w:r>
        <w:rPr>
          <w:color w:val="auto"/>
        </w:rPr>
        <w:t>工业企业厂界环境噪声排放标准</w:t>
      </w:r>
      <w:r>
        <w:rPr>
          <w:rFonts w:hint="eastAsia"/>
          <w:color w:val="auto"/>
        </w:rPr>
        <w:t>》</w:t>
      </w:r>
      <w:r>
        <w:rPr>
          <w:color w:val="auto"/>
        </w:rPr>
        <w:t>（GB12348-2008）</w:t>
      </w:r>
      <w:r>
        <w:rPr>
          <w:rFonts w:hint="eastAsia"/>
          <w:color w:val="auto"/>
        </w:rPr>
        <w:t xml:space="preserve"> </w:t>
      </w:r>
      <w:r>
        <w:rPr>
          <w:color w:val="auto"/>
        </w:rPr>
        <w:t xml:space="preserve"> </w:t>
      </w:r>
      <w:r>
        <w:rPr>
          <w:rFonts w:hint="eastAsia"/>
          <w:color w:val="auto"/>
        </w:rPr>
        <w:t>单位：</w:t>
      </w:r>
      <w:r>
        <w:rPr>
          <w:color w:val="auto"/>
        </w:rPr>
        <w:t>dB</w:t>
      </w:r>
      <w:r>
        <w:rPr>
          <w:rFonts w:hint="eastAsia"/>
          <w:color w:val="auto"/>
        </w:rPr>
        <w:t>（</w:t>
      </w:r>
      <w:r>
        <w:rPr>
          <w:color w:val="auto"/>
        </w:rPr>
        <w:t>A</w:t>
      </w:r>
      <w:r>
        <w:rPr>
          <w:rFonts w:hint="eastAsia"/>
          <w:color w:val="auto"/>
        </w:rPr>
        <w:t>）</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907"/>
        <w:gridCol w:w="2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666" w:type="pct"/>
            <w:vMerge w:val="restart"/>
            <w:vAlign w:val="center"/>
          </w:tcPr>
          <w:p>
            <w:pPr>
              <w:pStyle w:val="44"/>
              <w:rPr>
                <w:color w:val="auto"/>
              </w:rPr>
            </w:pPr>
            <w:r>
              <w:rPr>
                <w:rFonts w:hint="eastAsia"/>
                <w:color w:val="auto"/>
              </w:rPr>
              <w:t>功能区类别</w:t>
            </w:r>
          </w:p>
        </w:tc>
        <w:tc>
          <w:tcPr>
            <w:tcW w:w="3334" w:type="pct"/>
            <w:gridSpan w:val="2"/>
            <w:vAlign w:val="center"/>
          </w:tcPr>
          <w:p>
            <w:pPr>
              <w:pStyle w:val="44"/>
              <w:rPr>
                <w:color w:val="auto"/>
              </w:rPr>
            </w:pPr>
            <w:r>
              <w:rPr>
                <w:rFonts w:hint="eastAsia"/>
                <w:color w:val="auto"/>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666" w:type="pct"/>
            <w:vMerge w:val="continue"/>
            <w:vAlign w:val="center"/>
          </w:tcPr>
          <w:p>
            <w:pPr>
              <w:pStyle w:val="44"/>
              <w:rPr>
                <w:color w:val="auto"/>
              </w:rPr>
            </w:pPr>
          </w:p>
        </w:tc>
        <w:tc>
          <w:tcPr>
            <w:tcW w:w="1667" w:type="pct"/>
            <w:vAlign w:val="center"/>
          </w:tcPr>
          <w:p>
            <w:pPr>
              <w:pStyle w:val="44"/>
              <w:rPr>
                <w:color w:val="auto"/>
              </w:rPr>
            </w:pPr>
            <w:r>
              <w:rPr>
                <w:rFonts w:hint="eastAsia"/>
                <w:color w:val="auto"/>
              </w:rPr>
              <w:t>昼间</w:t>
            </w:r>
          </w:p>
        </w:tc>
        <w:tc>
          <w:tcPr>
            <w:tcW w:w="1667" w:type="pct"/>
            <w:vAlign w:val="center"/>
          </w:tcPr>
          <w:p>
            <w:pPr>
              <w:pStyle w:val="44"/>
              <w:rPr>
                <w:color w:val="auto"/>
              </w:rPr>
            </w:pPr>
            <w:r>
              <w:rPr>
                <w:rFonts w:hint="eastAsia"/>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666" w:type="pct"/>
            <w:vAlign w:val="center"/>
          </w:tcPr>
          <w:p>
            <w:pPr>
              <w:pStyle w:val="44"/>
              <w:rPr>
                <w:b/>
                <w:bCs w:val="0"/>
                <w:color w:val="auto"/>
              </w:rPr>
            </w:pPr>
            <w:r>
              <w:rPr>
                <w:bCs w:val="0"/>
                <w:color w:val="auto"/>
              </w:rPr>
              <w:t>3</w:t>
            </w:r>
            <w:r>
              <w:rPr>
                <w:rFonts w:hint="eastAsia"/>
                <w:bCs w:val="0"/>
                <w:color w:val="auto"/>
              </w:rPr>
              <w:t>类</w:t>
            </w:r>
          </w:p>
        </w:tc>
        <w:tc>
          <w:tcPr>
            <w:tcW w:w="1667" w:type="pct"/>
            <w:vAlign w:val="center"/>
          </w:tcPr>
          <w:p>
            <w:pPr>
              <w:pStyle w:val="44"/>
              <w:rPr>
                <w:b/>
                <w:bCs w:val="0"/>
                <w:color w:val="auto"/>
              </w:rPr>
            </w:pPr>
            <w:r>
              <w:rPr>
                <w:bCs w:val="0"/>
                <w:color w:val="auto"/>
              </w:rPr>
              <w:t>65</w:t>
            </w:r>
          </w:p>
        </w:tc>
        <w:tc>
          <w:tcPr>
            <w:tcW w:w="1667" w:type="pct"/>
            <w:vAlign w:val="center"/>
          </w:tcPr>
          <w:p>
            <w:pPr>
              <w:pStyle w:val="44"/>
              <w:rPr>
                <w:b/>
                <w:bCs w:val="0"/>
                <w:color w:val="auto"/>
              </w:rPr>
            </w:pPr>
            <w:r>
              <w:rPr>
                <w:bCs w:val="0"/>
                <w:color w:val="auto"/>
              </w:rPr>
              <w:t>55</w:t>
            </w:r>
          </w:p>
        </w:tc>
      </w:tr>
    </w:tbl>
    <w:p>
      <w:pPr>
        <w:pStyle w:val="5"/>
      </w:pPr>
      <w:bookmarkStart w:id="77" w:name="_Toc3107"/>
      <w:bookmarkStart w:id="78" w:name="_Toc81808515"/>
      <w:r>
        <w:t>6</w:t>
      </w:r>
      <w:r>
        <w:rPr>
          <w:rFonts w:hint="eastAsia"/>
        </w:rPr>
        <w:t>.4</w:t>
      </w:r>
      <w:r>
        <w:t>固体废弃物</w:t>
      </w:r>
      <w:bookmarkEnd w:id="77"/>
      <w:bookmarkEnd w:id="78"/>
    </w:p>
    <w:p>
      <w:pPr>
        <w:ind w:firstLine="480"/>
      </w:pPr>
      <w:r>
        <w:rPr>
          <w:rFonts w:hint="eastAsia"/>
        </w:rPr>
        <w:t>本项目工业固体废物采用库房，并采用包装工具（罐、桶、包装袋等）贮存，一般固废污染控制不适用GB18599-2020《一般工业固体废物贮存和填埋污染控制标准》，因此要求其贮存过程应满足相应防渗漏、防雨淋、防扬尘等环境保护要求以及《中华人民共和国固体废物污染环境防治法》（2020年修订）中的相关规定。危险废物的贮存执行《危险废物贮存污染控制标准》（GB18597-2001）及其修改单（2013年第36号）中的相关规定。</w:t>
      </w:r>
    </w:p>
    <w:p>
      <w:pPr>
        <w:pStyle w:val="2"/>
        <w:ind w:left="480" w:firstLine="480"/>
      </w:pPr>
    </w:p>
    <w:p>
      <w:pPr>
        <w:pStyle w:val="2"/>
        <w:ind w:left="480" w:firstLine="480"/>
        <w:sectPr>
          <w:pgSz w:w="11906" w:h="16838"/>
          <w:pgMar w:top="1418" w:right="1701" w:bottom="1418" w:left="1701" w:header="851" w:footer="992" w:gutter="0"/>
          <w:pgNumType w:fmt="numberInDash"/>
          <w:cols w:space="425" w:num="1"/>
          <w:docGrid w:type="lines" w:linePitch="312" w:charSpace="0"/>
        </w:sectPr>
      </w:pPr>
    </w:p>
    <w:p>
      <w:pPr>
        <w:pStyle w:val="4"/>
      </w:pPr>
      <w:bookmarkStart w:id="79" w:name="_Toc81808516"/>
      <w:bookmarkStart w:id="80" w:name="_Toc515273919"/>
      <w:r>
        <w:rPr>
          <w:rFonts w:hint="eastAsia"/>
        </w:rPr>
        <w:t>7</w:t>
      </w:r>
      <w:r>
        <w:t xml:space="preserve"> 验收监测内容</w:t>
      </w:r>
      <w:bookmarkEnd w:id="79"/>
      <w:bookmarkEnd w:id="80"/>
    </w:p>
    <w:p>
      <w:pPr>
        <w:pStyle w:val="5"/>
      </w:pPr>
      <w:bookmarkStart w:id="81" w:name="_Toc515273920"/>
      <w:bookmarkStart w:id="82" w:name="_Toc1654"/>
      <w:bookmarkStart w:id="83" w:name="_Toc18329"/>
      <w:bookmarkStart w:id="84" w:name="_Toc81808517"/>
      <w:bookmarkStart w:id="85" w:name="_Toc17252"/>
      <w:r>
        <w:t>7</w:t>
      </w:r>
      <w:bookmarkEnd w:id="81"/>
      <w:r>
        <w:rPr>
          <w:rFonts w:hint="eastAsia"/>
        </w:rPr>
        <w:t>.1</w:t>
      </w:r>
      <w:r>
        <w:t>废水</w:t>
      </w:r>
      <w:bookmarkEnd w:id="82"/>
      <w:bookmarkEnd w:id="83"/>
      <w:bookmarkEnd w:id="84"/>
      <w:bookmarkEnd w:id="85"/>
    </w:p>
    <w:p>
      <w:pPr>
        <w:ind w:firstLine="480"/>
      </w:pPr>
      <w:r>
        <w:t>废水监测内容及频次见表7-1。</w:t>
      </w:r>
    </w:p>
    <w:p>
      <w:pPr>
        <w:pStyle w:val="39"/>
        <w:spacing w:before="0" w:beforeLines="0" w:after="0" w:afterLines="0"/>
        <w:rPr>
          <w:color w:val="auto"/>
        </w:rPr>
      </w:pPr>
      <w:r>
        <w:rPr>
          <w:color w:val="auto"/>
        </w:rPr>
        <w:t>表7-1  废水监测内容及频次</w:t>
      </w:r>
    </w:p>
    <w:tbl>
      <w:tblPr>
        <w:tblStyle w:val="22"/>
        <w:tblW w:w="5000" w:type="pct"/>
        <w:jc w:val="center"/>
        <w:tblLayout w:type="autofit"/>
        <w:tblCellMar>
          <w:top w:w="0" w:type="dxa"/>
          <w:left w:w="0" w:type="dxa"/>
          <w:bottom w:w="0" w:type="dxa"/>
          <w:right w:w="0" w:type="dxa"/>
        </w:tblCellMar>
      </w:tblPr>
      <w:tblGrid>
        <w:gridCol w:w="2845"/>
        <w:gridCol w:w="2844"/>
        <w:gridCol w:w="2845"/>
      </w:tblGrid>
      <w:tr>
        <w:tblPrEx>
          <w:tblCellMar>
            <w:top w:w="0" w:type="dxa"/>
            <w:left w:w="0" w:type="dxa"/>
            <w:bottom w:w="0" w:type="dxa"/>
            <w:right w:w="0" w:type="dxa"/>
          </w:tblCellMar>
        </w:tblPrEx>
        <w:trPr>
          <w:trHeight w:val="340" w:hRule="atLeast"/>
          <w:jc w:val="center"/>
        </w:trPr>
        <w:tc>
          <w:tcPr>
            <w:tcW w:w="1667"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b/>
                <w:bCs w:val="0"/>
                <w:color w:val="auto"/>
              </w:rPr>
              <w:t>监测点位</w:t>
            </w:r>
          </w:p>
        </w:tc>
        <w:tc>
          <w:tcPr>
            <w:tcW w:w="1666"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b/>
                <w:bCs w:val="0"/>
                <w:color w:val="auto"/>
              </w:rPr>
              <w:t>监测因子</w:t>
            </w:r>
          </w:p>
        </w:tc>
        <w:tc>
          <w:tcPr>
            <w:tcW w:w="1667"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b/>
                <w:bCs w:val="0"/>
                <w:color w:val="auto"/>
              </w:rPr>
              <w:t>监测频次</w:t>
            </w:r>
          </w:p>
        </w:tc>
      </w:tr>
      <w:tr>
        <w:tblPrEx>
          <w:tblCellMar>
            <w:top w:w="0" w:type="dxa"/>
            <w:left w:w="0" w:type="dxa"/>
            <w:bottom w:w="0" w:type="dxa"/>
            <w:right w:w="0" w:type="dxa"/>
          </w:tblCellMar>
        </w:tblPrEx>
        <w:trPr>
          <w:trHeight w:val="340" w:hRule="atLeast"/>
          <w:jc w:val="center"/>
        </w:trPr>
        <w:tc>
          <w:tcPr>
            <w:tcW w:w="1667"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44"/>
              <w:rPr>
                <w:bCs w:val="0"/>
                <w:color w:val="FF0000"/>
              </w:rPr>
            </w:pPr>
            <w:r>
              <w:rPr>
                <w:rFonts w:hint="eastAsia"/>
                <w:bCs w:val="0"/>
                <w:color w:val="FF0000"/>
              </w:rPr>
              <w:t>隔油池进口</w:t>
            </w:r>
          </w:p>
        </w:tc>
        <w:tc>
          <w:tcPr>
            <w:tcW w:w="1666"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bCs w:val="0"/>
                <w:color w:val="auto"/>
              </w:rPr>
              <w:t>pH</w:t>
            </w:r>
            <w:r>
              <w:rPr>
                <w:rFonts w:hint="eastAsia"/>
                <w:bCs w:val="0"/>
                <w:color w:val="auto"/>
              </w:rPr>
              <w:t>值</w:t>
            </w:r>
            <w:r>
              <w:rPr>
                <w:bCs w:val="0"/>
                <w:color w:val="auto"/>
              </w:rPr>
              <w:t>、</w:t>
            </w:r>
            <w:r>
              <w:rPr>
                <w:rFonts w:hint="eastAsia"/>
                <w:bCs w:val="0"/>
                <w:color w:val="auto"/>
              </w:rPr>
              <w:t>COD</w:t>
            </w:r>
            <w:r>
              <w:rPr>
                <w:rFonts w:hint="eastAsia"/>
                <w:bCs w:val="0"/>
                <w:color w:val="auto"/>
                <w:vertAlign w:val="subscript"/>
              </w:rPr>
              <w:t>Cr</w:t>
            </w:r>
            <w:r>
              <w:rPr>
                <w:bCs w:val="0"/>
                <w:color w:val="auto"/>
              </w:rPr>
              <w:t>、</w:t>
            </w:r>
            <w:r>
              <w:rPr>
                <w:rFonts w:hint="eastAsia"/>
                <w:bCs w:val="0"/>
                <w:color w:val="auto"/>
              </w:rPr>
              <w:t>BOD</w:t>
            </w:r>
            <w:r>
              <w:rPr>
                <w:rFonts w:hint="eastAsia"/>
                <w:bCs w:val="0"/>
                <w:color w:val="auto"/>
                <w:vertAlign w:val="subscript"/>
              </w:rPr>
              <w:t>5</w:t>
            </w:r>
            <w:r>
              <w:rPr>
                <w:rFonts w:hint="eastAsia"/>
                <w:bCs w:val="0"/>
                <w:color w:val="auto"/>
              </w:rPr>
              <w:t>、</w:t>
            </w:r>
          </w:p>
          <w:p>
            <w:pPr>
              <w:pStyle w:val="44"/>
              <w:rPr>
                <w:bCs w:val="0"/>
                <w:color w:val="auto"/>
              </w:rPr>
            </w:pPr>
            <w:r>
              <w:rPr>
                <w:rFonts w:hint="eastAsia"/>
                <w:bCs w:val="0"/>
                <w:color w:val="auto"/>
              </w:rPr>
              <w:t>NH</w:t>
            </w:r>
            <w:r>
              <w:rPr>
                <w:rFonts w:hint="eastAsia"/>
                <w:bCs w:val="0"/>
                <w:color w:val="auto"/>
                <w:vertAlign w:val="subscript"/>
              </w:rPr>
              <w:t>3</w:t>
            </w:r>
            <w:r>
              <w:rPr>
                <w:rFonts w:hint="eastAsia"/>
                <w:bCs w:val="0"/>
                <w:color w:val="auto"/>
              </w:rPr>
              <w:t>-N</w:t>
            </w:r>
            <w:r>
              <w:rPr>
                <w:bCs w:val="0"/>
                <w:color w:val="auto"/>
              </w:rPr>
              <w:t>、</w:t>
            </w:r>
            <w:r>
              <w:rPr>
                <w:rFonts w:hint="eastAsia"/>
                <w:bCs w:val="0"/>
                <w:color w:val="auto"/>
              </w:rPr>
              <w:t>SS、色度、总磷</w:t>
            </w:r>
          </w:p>
        </w:tc>
        <w:tc>
          <w:tcPr>
            <w:tcW w:w="1667"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Cs w:val="0"/>
                <w:color w:val="auto"/>
              </w:rPr>
            </w:pPr>
            <w:r>
              <w:rPr>
                <w:rFonts w:hint="eastAsia"/>
                <w:bCs w:val="0"/>
                <w:color w:val="auto"/>
              </w:rPr>
              <w:t>监测</w:t>
            </w:r>
            <w:r>
              <w:rPr>
                <w:bCs w:val="0"/>
                <w:color w:val="auto"/>
              </w:rPr>
              <w:t>2天，每天4次</w:t>
            </w:r>
          </w:p>
        </w:tc>
      </w:tr>
      <w:tr>
        <w:tblPrEx>
          <w:tblCellMar>
            <w:top w:w="0" w:type="dxa"/>
            <w:left w:w="0" w:type="dxa"/>
            <w:bottom w:w="0" w:type="dxa"/>
            <w:right w:w="0" w:type="dxa"/>
          </w:tblCellMar>
        </w:tblPrEx>
        <w:trPr>
          <w:trHeight w:val="340" w:hRule="atLeast"/>
          <w:jc w:val="center"/>
        </w:trPr>
        <w:tc>
          <w:tcPr>
            <w:tcW w:w="1667"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44"/>
              <w:rPr>
                <w:bCs w:val="0"/>
                <w:color w:val="FF0000"/>
              </w:rPr>
            </w:pPr>
            <w:r>
              <w:rPr>
                <w:rFonts w:hint="eastAsia"/>
                <w:bCs w:val="0"/>
                <w:color w:val="FF0000"/>
              </w:rPr>
              <w:t>A</w:t>
            </w:r>
            <w:r>
              <w:rPr>
                <w:bCs w:val="0"/>
                <w:color w:val="FF0000"/>
              </w:rPr>
              <w:t>O池进口</w:t>
            </w:r>
          </w:p>
        </w:tc>
        <w:tc>
          <w:tcPr>
            <w:tcW w:w="1666"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bCs w:val="0"/>
                <w:color w:val="auto"/>
              </w:rPr>
              <w:t>pH</w:t>
            </w:r>
            <w:r>
              <w:rPr>
                <w:rFonts w:hint="eastAsia"/>
                <w:bCs w:val="0"/>
                <w:color w:val="auto"/>
              </w:rPr>
              <w:t>值</w:t>
            </w:r>
            <w:r>
              <w:rPr>
                <w:bCs w:val="0"/>
                <w:color w:val="auto"/>
              </w:rPr>
              <w:t>、</w:t>
            </w:r>
            <w:r>
              <w:rPr>
                <w:rFonts w:hint="eastAsia"/>
                <w:bCs w:val="0"/>
                <w:color w:val="auto"/>
              </w:rPr>
              <w:t>COD</w:t>
            </w:r>
            <w:r>
              <w:rPr>
                <w:rFonts w:hint="eastAsia"/>
                <w:bCs w:val="0"/>
                <w:color w:val="auto"/>
                <w:vertAlign w:val="subscript"/>
              </w:rPr>
              <w:t>Cr</w:t>
            </w:r>
            <w:r>
              <w:rPr>
                <w:bCs w:val="0"/>
                <w:color w:val="auto"/>
              </w:rPr>
              <w:t>、</w:t>
            </w:r>
            <w:r>
              <w:rPr>
                <w:rFonts w:hint="eastAsia"/>
                <w:bCs w:val="0"/>
                <w:color w:val="auto"/>
              </w:rPr>
              <w:t>BOD</w:t>
            </w:r>
            <w:r>
              <w:rPr>
                <w:rFonts w:hint="eastAsia"/>
                <w:bCs w:val="0"/>
                <w:color w:val="auto"/>
                <w:vertAlign w:val="subscript"/>
              </w:rPr>
              <w:t>5</w:t>
            </w:r>
            <w:r>
              <w:rPr>
                <w:rFonts w:hint="eastAsia"/>
                <w:bCs w:val="0"/>
                <w:color w:val="auto"/>
              </w:rPr>
              <w:t>、</w:t>
            </w:r>
          </w:p>
          <w:p>
            <w:pPr>
              <w:pStyle w:val="44"/>
              <w:rPr>
                <w:bCs w:val="0"/>
                <w:color w:val="auto"/>
              </w:rPr>
            </w:pPr>
            <w:r>
              <w:rPr>
                <w:rFonts w:hint="eastAsia"/>
                <w:bCs w:val="0"/>
                <w:color w:val="auto"/>
              </w:rPr>
              <w:t>NH</w:t>
            </w:r>
            <w:r>
              <w:rPr>
                <w:rFonts w:hint="eastAsia"/>
                <w:bCs w:val="0"/>
                <w:color w:val="auto"/>
                <w:vertAlign w:val="subscript"/>
              </w:rPr>
              <w:t>3</w:t>
            </w:r>
            <w:r>
              <w:rPr>
                <w:rFonts w:hint="eastAsia"/>
                <w:bCs w:val="0"/>
                <w:color w:val="auto"/>
              </w:rPr>
              <w:t>-N</w:t>
            </w:r>
            <w:r>
              <w:rPr>
                <w:bCs w:val="0"/>
                <w:color w:val="auto"/>
              </w:rPr>
              <w:t>、</w:t>
            </w:r>
            <w:r>
              <w:rPr>
                <w:rFonts w:hint="eastAsia"/>
                <w:bCs w:val="0"/>
                <w:color w:val="auto"/>
              </w:rPr>
              <w:t>SS、色度、总磷</w:t>
            </w:r>
          </w:p>
        </w:tc>
        <w:tc>
          <w:tcPr>
            <w:tcW w:w="1667"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Cs w:val="0"/>
                <w:color w:val="auto"/>
              </w:rPr>
            </w:pPr>
            <w:r>
              <w:rPr>
                <w:rFonts w:hint="eastAsia"/>
                <w:bCs w:val="0"/>
                <w:color w:val="auto"/>
              </w:rPr>
              <w:t>监测</w:t>
            </w:r>
            <w:r>
              <w:rPr>
                <w:bCs w:val="0"/>
                <w:color w:val="auto"/>
              </w:rPr>
              <w:t>2天，每天4次</w:t>
            </w:r>
          </w:p>
        </w:tc>
      </w:tr>
      <w:tr>
        <w:tblPrEx>
          <w:tblCellMar>
            <w:top w:w="0" w:type="dxa"/>
            <w:left w:w="0" w:type="dxa"/>
            <w:bottom w:w="0" w:type="dxa"/>
            <w:right w:w="0" w:type="dxa"/>
          </w:tblCellMar>
        </w:tblPrEx>
        <w:trPr>
          <w:trHeight w:val="340" w:hRule="atLeast"/>
          <w:jc w:val="center"/>
        </w:trPr>
        <w:tc>
          <w:tcPr>
            <w:tcW w:w="1667"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rFonts w:hint="eastAsia"/>
                <w:bCs w:val="0"/>
                <w:color w:val="auto"/>
              </w:rPr>
              <w:t>废水总排口</w:t>
            </w:r>
          </w:p>
        </w:tc>
        <w:tc>
          <w:tcPr>
            <w:tcW w:w="1666"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bCs w:val="0"/>
                <w:color w:val="auto"/>
              </w:rPr>
              <w:t>pH</w:t>
            </w:r>
            <w:r>
              <w:rPr>
                <w:rFonts w:hint="eastAsia"/>
                <w:bCs w:val="0"/>
                <w:color w:val="auto"/>
              </w:rPr>
              <w:t>值</w:t>
            </w:r>
            <w:r>
              <w:rPr>
                <w:bCs w:val="0"/>
                <w:color w:val="auto"/>
              </w:rPr>
              <w:t>、</w:t>
            </w:r>
            <w:r>
              <w:rPr>
                <w:rFonts w:hint="eastAsia"/>
                <w:bCs w:val="0"/>
                <w:color w:val="auto"/>
              </w:rPr>
              <w:t>COD</w:t>
            </w:r>
            <w:r>
              <w:rPr>
                <w:rFonts w:hint="eastAsia"/>
                <w:bCs w:val="0"/>
                <w:color w:val="auto"/>
                <w:vertAlign w:val="subscript"/>
              </w:rPr>
              <w:t>Cr</w:t>
            </w:r>
            <w:r>
              <w:rPr>
                <w:bCs w:val="0"/>
                <w:color w:val="auto"/>
              </w:rPr>
              <w:t>、</w:t>
            </w:r>
            <w:r>
              <w:rPr>
                <w:rFonts w:hint="eastAsia"/>
                <w:bCs w:val="0"/>
                <w:color w:val="auto"/>
              </w:rPr>
              <w:t>BOD</w:t>
            </w:r>
            <w:r>
              <w:rPr>
                <w:rFonts w:hint="eastAsia"/>
                <w:bCs w:val="0"/>
                <w:color w:val="auto"/>
                <w:vertAlign w:val="subscript"/>
              </w:rPr>
              <w:t>5</w:t>
            </w:r>
            <w:r>
              <w:rPr>
                <w:rFonts w:hint="eastAsia"/>
                <w:bCs w:val="0"/>
                <w:color w:val="auto"/>
              </w:rPr>
              <w:t>、</w:t>
            </w:r>
          </w:p>
          <w:p>
            <w:pPr>
              <w:pStyle w:val="44"/>
              <w:rPr>
                <w:b/>
                <w:bCs w:val="0"/>
                <w:color w:val="auto"/>
              </w:rPr>
            </w:pPr>
            <w:r>
              <w:rPr>
                <w:rFonts w:hint="eastAsia"/>
                <w:bCs w:val="0"/>
                <w:color w:val="auto"/>
              </w:rPr>
              <w:t>NH</w:t>
            </w:r>
            <w:r>
              <w:rPr>
                <w:rFonts w:hint="eastAsia"/>
                <w:bCs w:val="0"/>
                <w:color w:val="auto"/>
                <w:vertAlign w:val="subscript"/>
              </w:rPr>
              <w:t>3</w:t>
            </w:r>
            <w:r>
              <w:rPr>
                <w:rFonts w:hint="eastAsia"/>
                <w:bCs w:val="0"/>
                <w:color w:val="auto"/>
              </w:rPr>
              <w:t>-N</w:t>
            </w:r>
            <w:r>
              <w:rPr>
                <w:bCs w:val="0"/>
                <w:color w:val="auto"/>
              </w:rPr>
              <w:t>、</w:t>
            </w:r>
            <w:r>
              <w:rPr>
                <w:rFonts w:hint="eastAsia"/>
                <w:bCs w:val="0"/>
                <w:color w:val="auto"/>
              </w:rPr>
              <w:t>SS、色度、总磷</w:t>
            </w:r>
          </w:p>
        </w:tc>
        <w:tc>
          <w:tcPr>
            <w:tcW w:w="1667"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44"/>
              <w:rPr>
                <w:b/>
                <w:bCs w:val="0"/>
                <w:color w:val="auto"/>
              </w:rPr>
            </w:pPr>
            <w:r>
              <w:rPr>
                <w:rFonts w:hint="eastAsia"/>
                <w:bCs w:val="0"/>
                <w:color w:val="auto"/>
              </w:rPr>
              <w:t>监测</w:t>
            </w:r>
            <w:r>
              <w:rPr>
                <w:bCs w:val="0"/>
                <w:color w:val="auto"/>
              </w:rPr>
              <w:t>2天，每天4次</w:t>
            </w:r>
          </w:p>
        </w:tc>
      </w:tr>
    </w:tbl>
    <w:p>
      <w:pPr>
        <w:pStyle w:val="5"/>
      </w:pPr>
      <w:bookmarkStart w:id="86" w:name="_Toc23584"/>
      <w:bookmarkStart w:id="87" w:name="_Toc30980"/>
      <w:bookmarkStart w:id="88" w:name="_Toc81808518"/>
      <w:r>
        <w:t>7</w:t>
      </w:r>
      <w:r>
        <w:rPr>
          <w:rFonts w:hint="eastAsia"/>
        </w:rPr>
        <w:t>.</w:t>
      </w:r>
      <w:r>
        <w:t>2废气</w:t>
      </w:r>
      <w:bookmarkEnd w:id="86"/>
      <w:bookmarkEnd w:id="87"/>
      <w:bookmarkEnd w:id="88"/>
    </w:p>
    <w:p>
      <w:pPr>
        <w:ind w:firstLine="480"/>
        <w:rPr>
          <w:rFonts w:cs="Times New Roman"/>
        </w:rPr>
      </w:pPr>
      <w:r>
        <w:rPr>
          <w:rFonts w:hint="eastAsia" w:cs="Times New Roman"/>
        </w:rPr>
        <w:t>有组织废气</w:t>
      </w:r>
      <w:r>
        <w:rPr>
          <w:rFonts w:cs="Times New Roman"/>
        </w:rPr>
        <w:t>监测内容及频次具体见表7-2。</w:t>
      </w:r>
    </w:p>
    <w:p>
      <w:pPr>
        <w:pStyle w:val="39"/>
        <w:spacing w:before="0" w:beforeLines="0" w:after="0" w:afterLines="0"/>
        <w:rPr>
          <w:color w:val="auto"/>
        </w:rPr>
      </w:pPr>
      <w:r>
        <w:rPr>
          <w:color w:val="auto"/>
        </w:rPr>
        <w:t>表7-</w:t>
      </w:r>
      <w:r>
        <w:rPr>
          <w:rFonts w:hint="eastAsia"/>
          <w:color w:val="auto"/>
        </w:rPr>
        <w:t>2</w:t>
      </w:r>
      <w:r>
        <w:rPr>
          <w:color w:val="auto"/>
        </w:rPr>
        <w:t xml:space="preserve">  </w:t>
      </w:r>
      <w:r>
        <w:rPr>
          <w:rFonts w:hint="eastAsia"/>
          <w:color w:val="auto"/>
        </w:rPr>
        <w:t>有组织</w:t>
      </w:r>
      <w:r>
        <w:rPr>
          <w:color w:val="auto"/>
        </w:rPr>
        <w:t>废气监测内容及频次</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7"/>
        <w:gridCol w:w="2906"/>
        <w:gridCol w:w="2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
                <w:bCs w:val="0"/>
                <w:color w:val="auto"/>
              </w:rPr>
            </w:pPr>
            <w:bookmarkStart w:id="89" w:name="_Hlk73978201"/>
            <w:r>
              <w:rPr>
                <w:b/>
                <w:bCs w:val="0"/>
                <w:color w:val="auto"/>
              </w:rPr>
              <w:t>监测点位</w:t>
            </w:r>
          </w:p>
        </w:tc>
        <w:tc>
          <w:tcPr>
            <w:tcW w:w="1666" w:type="pct"/>
            <w:vAlign w:val="center"/>
          </w:tcPr>
          <w:p>
            <w:pPr>
              <w:pStyle w:val="44"/>
              <w:rPr>
                <w:b/>
                <w:bCs w:val="0"/>
                <w:color w:val="auto"/>
              </w:rPr>
            </w:pPr>
            <w:r>
              <w:rPr>
                <w:b/>
                <w:bCs w:val="0"/>
                <w:color w:val="auto"/>
              </w:rPr>
              <w:t>监测因子</w:t>
            </w:r>
          </w:p>
        </w:tc>
        <w:tc>
          <w:tcPr>
            <w:tcW w:w="1667" w:type="pct"/>
            <w:vAlign w:val="center"/>
          </w:tcPr>
          <w:p>
            <w:pPr>
              <w:pStyle w:val="44"/>
              <w:rPr>
                <w:b/>
                <w:bCs w:val="0"/>
                <w:color w:val="auto"/>
              </w:rPr>
            </w:pPr>
            <w:r>
              <w:rPr>
                <w:b/>
                <w:bCs w:val="0"/>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
                <w:bCs w:val="0"/>
                <w:color w:val="auto"/>
              </w:rPr>
            </w:pPr>
            <w:r>
              <w:rPr>
                <w:rFonts w:hint="eastAsia"/>
                <w:bCs w:val="0"/>
                <w:color w:val="auto"/>
              </w:rPr>
              <w:t>复合工序废气处理设施进口</w:t>
            </w:r>
          </w:p>
        </w:tc>
        <w:tc>
          <w:tcPr>
            <w:tcW w:w="1666" w:type="pct"/>
            <w:vAlign w:val="center"/>
          </w:tcPr>
          <w:p>
            <w:pPr>
              <w:pStyle w:val="44"/>
              <w:rPr>
                <w:b/>
                <w:bCs w:val="0"/>
                <w:color w:val="auto"/>
              </w:rPr>
            </w:pPr>
            <w:r>
              <w:rPr>
                <w:rFonts w:hint="eastAsia"/>
                <w:bCs w:val="0"/>
                <w:color w:val="auto"/>
              </w:rPr>
              <w:t>非甲烷总烃</w:t>
            </w:r>
          </w:p>
        </w:tc>
        <w:tc>
          <w:tcPr>
            <w:tcW w:w="1667" w:type="pct"/>
            <w:vAlign w:val="center"/>
          </w:tcPr>
          <w:p>
            <w:pPr>
              <w:pStyle w:val="44"/>
              <w:rPr>
                <w:b/>
                <w:bCs w:val="0"/>
                <w:color w:val="auto"/>
              </w:rPr>
            </w:pPr>
            <w:r>
              <w:rPr>
                <w:bCs w:val="0"/>
                <w:color w:val="auto"/>
              </w:rPr>
              <w:t>监测2天，每天3次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
                <w:bCs w:val="0"/>
                <w:color w:val="auto"/>
              </w:rPr>
            </w:pPr>
            <w:r>
              <w:rPr>
                <w:rFonts w:hint="eastAsia"/>
                <w:bCs w:val="0"/>
                <w:color w:val="auto"/>
              </w:rPr>
              <w:t>复合工序废气处理设施出口</w:t>
            </w:r>
          </w:p>
        </w:tc>
        <w:tc>
          <w:tcPr>
            <w:tcW w:w="1666" w:type="pct"/>
            <w:vAlign w:val="center"/>
          </w:tcPr>
          <w:p>
            <w:pPr>
              <w:pStyle w:val="44"/>
              <w:rPr>
                <w:b/>
                <w:bCs w:val="0"/>
                <w:color w:val="auto"/>
              </w:rPr>
            </w:pPr>
            <w:r>
              <w:rPr>
                <w:bCs w:val="0"/>
                <w:color w:val="auto"/>
              </w:rPr>
              <w:t>非甲烷总烃</w:t>
            </w:r>
            <w:r>
              <w:rPr>
                <w:rFonts w:hint="eastAsia"/>
                <w:bCs w:val="0"/>
                <w:color w:val="auto"/>
              </w:rPr>
              <w:t>、</w:t>
            </w:r>
            <w:r>
              <w:rPr>
                <w:bCs w:val="0"/>
                <w:color w:val="auto"/>
              </w:rPr>
              <w:t>臭气浓度</w:t>
            </w:r>
          </w:p>
        </w:tc>
        <w:tc>
          <w:tcPr>
            <w:tcW w:w="1667" w:type="pct"/>
            <w:vAlign w:val="center"/>
          </w:tcPr>
          <w:p>
            <w:pPr>
              <w:pStyle w:val="44"/>
              <w:rPr>
                <w:b/>
                <w:bCs w:val="0"/>
                <w:color w:val="auto"/>
              </w:rPr>
            </w:pPr>
            <w:r>
              <w:rPr>
                <w:bCs w:val="0"/>
                <w:color w:val="auto"/>
              </w:rPr>
              <w:t>监测2天，每天3次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Cs w:val="0"/>
                <w:color w:val="auto"/>
              </w:rPr>
            </w:pPr>
            <w:r>
              <w:rPr>
                <w:rFonts w:hint="eastAsia"/>
                <w:bCs w:val="0"/>
                <w:color w:val="auto"/>
              </w:rPr>
              <w:t>涂层工序废气处理设施进口1</w:t>
            </w:r>
          </w:p>
        </w:tc>
        <w:tc>
          <w:tcPr>
            <w:tcW w:w="1666" w:type="pct"/>
            <w:vAlign w:val="center"/>
          </w:tcPr>
          <w:p>
            <w:pPr>
              <w:pStyle w:val="44"/>
              <w:rPr>
                <w:bCs w:val="0"/>
                <w:color w:val="auto"/>
              </w:rPr>
            </w:pPr>
            <w:r>
              <w:rPr>
                <w:rFonts w:hint="eastAsia"/>
                <w:bCs w:val="0"/>
                <w:color w:val="auto"/>
              </w:rPr>
              <w:t>非甲烷总烃</w:t>
            </w:r>
          </w:p>
        </w:tc>
        <w:tc>
          <w:tcPr>
            <w:tcW w:w="1667" w:type="pct"/>
            <w:vAlign w:val="center"/>
          </w:tcPr>
          <w:p>
            <w:pPr>
              <w:pStyle w:val="44"/>
              <w:rPr>
                <w:bCs w:val="0"/>
                <w:color w:val="auto"/>
              </w:rPr>
            </w:pPr>
            <w:r>
              <w:rPr>
                <w:bCs w:val="0"/>
                <w:color w:val="auto"/>
              </w:rPr>
              <w:t>监测2天，每天3次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Cs w:val="0"/>
                <w:color w:val="auto"/>
              </w:rPr>
            </w:pPr>
            <w:r>
              <w:rPr>
                <w:rFonts w:hint="eastAsia"/>
                <w:bCs w:val="0"/>
                <w:color w:val="auto"/>
              </w:rPr>
              <w:t>涂层工序废气处理设施进口</w:t>
            </w:r>
            <w:r>
              <w:rPr>
                <w:bCs w:val="0"/>
                <w:color w:val="auto"/>
              </w:rPr>
              <w:t>2</w:t>
            </w:r>
          </w:p>
        </w:tc>
        <w:tc>
          <w:tcPr>
            <w:tcW w:w="1666" w:type="pct"/>
            <w:vAlign w:val="center"/>
          </w:tcPr>
          <w:p>
            <w:pPr>
              <w:pStyle w:val="44"/>
              <w:rPr>
                <w:bCs w:val="0"/>
                <w:color w:val="auto"/>
              </w:rPr>
            </w:pPr>
            <w:r>
              <w:rPr>
                <w:rFonts w:hint="eastAsia"/>
                <w:bCs w:val="0"/>
                <w:color w:val="auto"/>
              </w:rPr>
              <w:t>非甲烷总烃</w:t>
            </w:r>
          </w:p>
        </w:tc>
        <w:tc>
          <w:tcPr>
            <w:tcW w:w="1667" w:type="pct"/>
            <w:vAlign w:val="center"/>
          </w:tcPr>
          <w:p>
            <w:pPr>
              <w:pStyle w:val="44"/>
              <w:rPr>
                <w:bCs w:val="0"/>
                <w:color w:val="auto"/>
              </w:rPr>
            </w:pPr>
            <w:r>
              <w:rPr>
                <w:bCs w:val="0"/>
                <w:color w:val="auto"/>
              </w:rPr>
              <w:t>监测2天，每天3次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Cs w:val="0"/>
                <w:color w:val="auto"/>
              </w:rPr>
            </w:pPr>
            <w:r>
              <w:rPr>
                <w:rFonts w:hint="eastAsia"/>
                <w:bCs w:val="0"/>
                <w:color w:val="auto"/>
              </w:rPr>
              <w:t>涂层工序废气处理设施出口</w:t>
            </w:r>
          </w:p>
        </w:tc>
        <w:tc>
          <w:tcPr>
            <w:tcW w:w="1666" w:type="pct"/>
            <w:vAlign w:val="center"/>
          </w:tcPr>
          <w:p>
            <w:pPr>
              <w:pStyle w:val="44"/>
              <w:rPr>
                <w:bCs w:val="0"/>
                <w:color w:val="auto"/>
              </w:rPr>
            </w:pPr>
            <w:r>
              <w:rPr>
                <w:rFonts w:hint="eastAsia"/>
                <w:bCs w:val="0"/>
                <w:color w:val="auto"/>
              </w:rPr>
              <w:t>非甲烷总烃、臭气浓度、S</w:t>
            </w:r>
            <w:r>
              <w:rPr>
                <w:bCs w:val="0"/>
                <w:color w:val="auto"/>
              </w:rPr>
              <w:t>O</w:t>
            </w:r>
            <w:r>
              <w:rPr>
                <w:bCs w:val="0"/>
                <w:color w:val="auto"/>
                <w:vertAlign w:val="subscript"/>
              </w:rPr>
              <w:t>2</w:t>
            </w:r>
            <w:r>
              <w:rPr>
                <w:rFonts w:hint="eastAsia"/>
                <w:bCs w:val="0"/>
                <w:color w:val="auto"/>
              </w:rPr>
              <w:t>、N</w:t>
            </w:r>
            <w:r>
              <w:rPr>
                <w:bCs w:val="0"/>
                <w:color w:val="auto"/>
              </w:rPr>
              <w:t>Ox</w:t>
            </w:r>
            <w:r>
              <w:rPr>
                <w:rFonts w:hint="eastAsia"/>
                <w:bCs w:val="0"/>
                <w:color w:val="auto"/>
              </w:rPr>
              <w:t>、低浓度颗粒物</w:t>
            </w:r>
          </w:p>
        </w:tc>
        <w:tc>
          <w:tcPr>
            <w:tcW w:w="1667" w:type="pct"/>
            <w:vAlign w:val="center"/>
          </w:tcPr>
          <w:p>
            <w:pPr>
              <w:pStyle w:val="44"/>
              <w:rPr>
                <w:bCs w:val="0"/>
                <w:color w:val="auto"/>
              </w:rPr>
            </w:pPr>
            <w:r>
              <w:rPr>
                <w:bCs w:val="0"/>
                <w:color w:val="auto"/>
              </w:rPr>
              <w:t>监测2天，每天3次</w:t>
            </w:r>
          </w:p>
        </w:tc>
      </w:tr>
      <w:bookmarkEnd w:id="89"/>
    </w:tbl>
    <w:p>
      <w:pPr>
        <w:ind w:firstLine="480"/>
      </w:pPr>
      <w:bookmarkStart w:id="90" w:name="_Toc11835"/>
      <w:bookmarkStart w:id="91" w:name="_Toc21940"/>
      <w:r>
        <w:rPr>
          <w:rFonts w:hint="eastAsia"/>
        </w:rPr>
        <w:t>无组织废气</w:t>
      </w:r>
      <w:r>
        <w:t>监测内容及频次具体见表7-3。</w:t>
      </w:r>
    </w:p>
    <w:p>
      <w:pPr>
        <w:pStyle w:val="39"/>
        <w:spacing w:before="0" w:beforeLines="0" w:after="0" w:afterLines="0"/>
        <w:rPr>
          <w:color w:val="auto"/>
        </w:rPr>
      </w:pPr>
      <w:r>
        <w:rPr>
          <w:color w:val="auto"/>
        </w:rPr>
        <w:t xml:space="preserve">表7-3  </w:t>
      </w:r>
      <w:r>
        <w:rPr>
          <w:rFonts w:hint="eastAsia"/>
          <w:color w:val="auto"/>
        </w:rPr>
        <w:t>无组织</w:t>
      </w:r>
      <w:r>
        <w:rPr>
          <w:color w:val="auto"/>
        </w:rPr>
        <w:t>废气监测内容及频次</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7"/>
        <w:gridCol w:w="2907"/>
        <w:gridCol w:w="2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
                <w:bCs w:val="0"/>
                <w:color w:val="auto"/>
              </w:rPr>
            </w:pPr>
            <w:r>
              <w:rPr>
                <w:b/>
                <w:bCs w:val="0"/>
                <w:color w:val="auto"/>
              </w:rPr>
              <w:t>监测点位</w:t>
            </w:r>
          </w:p>
        </w:tc>
        <w:tc>
          <w:tcPr>
            <w:tcW w:w="1667" w:type="pct"/>
            <w:vAlign w:val="center"/>
          </w:tcPr>
          <w:p>
            <w:pPr>
              <w:pStyle w:val="44"/>
              <w:rPr>
                <w:b/>
                <w:bCs w:val="0"/>
                <w:color w:val="auto"/>
              </w:rPr>
            </w:pPr>
            <w:r>
              <w:rPr>
                <w:b/>
                <w:bCs w:val="0"/>
                <w:color w:val="auto"/>
              </w:rPr>
              <w:t>监测因子</w:t>
            </w:r>
          </w:p>
        </w:tc>
        <w:tc>
          <w:tcPr>
            <w:tcW w:w="1666" w:type="pct"/>
            <w:vAlign w:val="center"/>
          </w:tcPr>
          <w:p>
            <w:pPr>
              <w:pStyle w:val="44"/>
              <w:rPr>
                <w:b/>
                <w:bCs w:val="0"/>
                <w:color w:val="auto"/>
              </w:rPr>
            </w:pPr>
            <w:r>
              <w:rPr>
                <w:b/>
                <w:bCs w:val="0"/>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
                <w:bCs w:val="0"/>
                <w:color w:val="auto"/>
              </w:rPr>
            </w:pPr>
            <w:r>
              <w:rPr>
                <w:bCs w:val="0"/>
                <w:color w:val="auto"/>
              </w:rPr>
              <w:t>上风向</w:t>
            </w:r>
            <w:r>
              <w:rPr>
                <w:rFonts w:hint="eastAsia"/>
                <w:bCs w:val="0"/>
                <w:color w:val="auto"/>
              </w:rPr>
              <w:t>、</w:t>
            </w:r>
            <w:r>
              <w:rPr>
                <w:bCs w:val="0"/>
                <w:color w:val="auto"/>
              </w:rPr>
              <w:t>下风向</w:t>
            </w:r>
            <w:r>
              <w:rPr>
                <w:rFonts w:hint="eastAsia"/>
                <w:bCs w:val="0"/>
                <w:color w:val="auto"/>
              </w:rPr>
              <w:t>1#、下风向2#、下风向3#</w:t>
            </w:r>
          </w:p>
        </w:tc>
        <w:tc>
          <w:tcPr>
            <w:tcW w:w="1667" w:type="pct"/>
            <w:vAlign w:val="center"/>
          </w:tcPr>
          <w:p>
            <w:pPr>
              <w:pStyle w:val="44"/>
              <w:rPr>
                <w:b/>
                <w:bCs w:val="0"/>
                <w:color w:val="auto"/>
              </w:rPr>
            </w:pPr>
            <w:r>
              <w:rPr>
                <w:rFonts w:hint="eastAsia"/>
                <w:bCs w:val="0"/>
                <w:color w:val="auto"/>
              </w:rPr>
              <w:t>总悬浮颗粒物、非甲烷总烃、臭气浓度</w:t>
            </w:r>
          </w:p>
        </w:tc>
        <w:tc>
          <w:tcPr>
            <w:tcW w:w="1666" w:type="pct"/>
            <w:vAlign w:val="center"/>
          </w:tcPr>
          <w:p>
            <w:pPr>
              <w:pStyle w:val="44"/>
              <w:rPr>
                <w:b/>
                <w:bCs w:val="0"/>
                <w:color w:val="auto"/>
              </w:rPr>
            </w:pPr>
            <w:r>
              <w:rPr>
                <w:bCs w:val="0"/>
                <w:color w:val="auto"/>
              </w:rPr>
              <w:t>监测2天，每天</w:t>
            </w:r>
            <w:r>
              <w:rPr>
                <w:rFonts w:hint="eastAsia"/>
                <w:bCs w:val="0"/>
                <w:color w:val="auto"/>
              </w:rPr>
              <w:t>4</w:t>
            </w:r>
            <w:r>
              <w:rPr>
                <w:bCs w:val="0"/>
                <w:color w:val="auto"/>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44"/>
              <w:rPr>
                <w:b/>
                <w:bCs w:val="0"/>
                <w:color w:val="auto"/>
              </w:rPr>
            </w:pPr>
            <w:r>
              <w:rPr>
                <w:rFonts w:hint="eastAsia"/>
                <w:bCs w:val="0"/>
                <w:color w:val="auto"/>
              </w:rPr>
              <w:t>厂区内无组织排放监控点</w:t>
            </w:r>
          </w:p>
          <w:p>
            <w:pPr>
              <w:pStyle w:val="44"/>
              <w:rPr>
                <w:b/>
                <w:bCs w:val="0"/>
                <w:color w:val="auto"/>
              </w:rPr>
            </w:pPr>
            <w:r>
              <w:rPr>
                <w:rFonts w:hint="eastAsia"/>
                <w:bCs w:val="0"/>
                <w:color w:val="auto"/>
              </w:rPr>
              <w:t>（厂界北）</w:t>
            </w:r>
          </w:p>
        </w:tc>
        <w:tc>
          <w:tcPr>
            <w:tcW w:w="1667" w:type="pct"/>
            <w:vAlign w:val="center"/>
          </w:tcPr>
          <w:p>
            <w:pPr>
              <w:pStyle w:val="44"/>
              <w:rPr>
                <w:b/>
                <w:bCs w:val="0"/>
                <w:color w:val="auto"/>
              </w:rPr>
            </w:pPr>
            <w:r>
              <w:rPr>
                <w:rFonts w:hint="eastAsia"/>
                <w:bCs w:val="0"/>
                <w:color w:val="auto"/>
              </w:rPr>
              <w:t>非甲烷总烃</w:t>
            </w:r>
          </w:p>
        </w:tc>
        <w:tc>
          <w:tcPr>
            <w:tcW w:w="1666" w:type="pct"/>
            <w:vAlign w:val="center"/>
          </w:tcPr>
          <w:p>
            <w:pPr>
              <w:pStyle w:val="44"/>
              <w:rPr>
                <w:b/>
                <w:bCs w:val="0"/>
                <w:color w:val="auto"/>
              </w:rPr>
            </w:pPr>
            <w:r>
              <w:rPr>
                <w:rFonts w:hint="eastAsia"/>
                <w:bCs w:val="0"/>
                <w:color w:val="auto"/>
              </w:rPr>
              <w:t>监测2天，每天4次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vAlign w:val="center"/>
          </w:tcPr>
          <w:p>
            <w:pPr>
              <w:pStyle w:val="44"/>
              <w:jc w:val="both"/>
              <w:rPr>
                <w:b/>
                <w:bCs w:val="0"/>
                <w:color w:val="auto"/>
              </w:rPr>
            </w:pPr>
            <w:r>
              <w:rPr>
                <w:rFonts w:hint="eastAsia"/>
                <w:bCs w:val="0"/>
                <w:color w:val="auto"/>
              </w:rPr>
              <w:t>注：本项目租用现有工业厂房进行生产，厂区内污染物无组织排放监控点位与公司边界重叠，因此结合公司生产车间及废气处理设施布置情况，因此本次验收公司厂区内非甲烷总烃无组织排放监控点监测结果选取在公司下风向2#监测点位相关监测结果。</w:t>
            </w:r>
          </w:p>
        </w:tc>
      </w:tr>
    </w:tbl>
    <w:p>
      <w:pPr>
        <w:pStyle w:val="5"/>
        <w:rPr>
          <w:rFonts w:cs="Times New Roman"/>
          <w:kern w:val="44"/>
          <w:szCs w:val="24"/>
        </w:rPr>
      </w:pPr>
      <w:bookmarkStart w:id="92" w:name="_Toc81808519"/>
      <w:r>
        <w:rPr>
          <w:rFonts w:cs="Times New Roman"/>
          <w:kern w:val="44"/>
          <w:szCs w:val="24"/>
        </w:rPr>
        <w:t>7</w:t>
      </w:r>
      <w:r>
        <w:rPr>
          <w:rFonts w:hint="eastAsia" w:cs="Times New Roman"/>
          <w:kern w:val="44"/>
          <w:szCs w:val="24"/>
        </w:rPr>
        <w:t>.</w:t>
      </w:r>
      <w:r>
        <w:rPr>
          <w:rFonts w:cs="Times New Roman"/>
          <w:kern w:val="44"/>
          <w:szCs w:val="24"/>
        </w:rPr>
        <w:t>3噪声</w:t>
      </w:r>
      <w:bookmarkEnd w:id="90"/>
      <w:bookmarkEnd w:id="91"/>
      <w:bookmarkEnd w:id="92"/>
    </w:p>
    <w:p>
      <w:pPr>
        <w:snapToGrid w:val="0"/>
        <w:ind w:firstLine="480"/>
        <w:rPr>
          <w:rFonts w:cs="Times New Roman"/>
        </w:rPr>
      </w:pPr>
      <w:r>
        <w:rPr>
          <w:rFonts w:cs="Times New Roman"/>
        </w:rPr>
        <w:t xml:space="preserve">厂界噪声监测内容见表7-4。 </w:t>
      </w:r>
    </w:p>
    <w:p>
      <w:pPr>
        <w:pStyle w:val="39"/>
        <w:spacing w:before="0" w:beforeLines="0" w:after="0" w:afterLines="0"/>
        <w:rPr>
          <w:color w:val="auto"/>
        </w:rPr>
      </w:pPr>
      <w:r>
        <w:rPr>
          <w:color w:val="auto"/>
        </w:rPr>
        <w:t>表7-4  噪声监测内容及监测频次</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906"/>
        <w:gridCol w:w="2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44"/>
              <w:rPr>
                <w:color w:val="auto"/>
              </w:rPr>
            </w:pPr>
            <w:r>
              <w:rPr>
                <w:color w:val="auto"/>
              </w:rPr>
              <w:t>监测点位</w:t>
            </w:r>
          </w:p>
        </w:tc>
        <w:tc>
          <w:tcPr>
            <w:tcW w:w="1666" w:type="pct"/>
            <w:vAlign w:val="center"/>
          </w:tcPr>
          <w:p>
            <w:pPr>
              <w:pStyle w:val="44"/>
              <w:rPr>
                <w:color w:val="auto"/>
              </w:rPr>
            </w:pPr>
            <w:r>
              <w:rPr>
                <w:color w:val="auto"/>
              </w:rPr>
              <w:t>监测因子</w:t>
            </w:r>
          </w:p>
        </w:tc>
        <w:tc>
          <w:tcPr>
            <w:tcW w:w="1667" w:type="pct"/>
            <w:vAlign w:val="center"/>
          </w:tcPr>
          <w:p>
            <w:pPr>
              <w:pStyle w:val="44"/>
              <w:rPr>
                <w:color w:val="auto"/>
              </w:rPr>
            </w:pPr>
            <w:r>
              <w:rPr>
                <w:color w:val="auto"/>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44"/>
              <w:rPr>
                <w:b/>
                <w:bCs w:val="0"/>
                <w:color w:val="auto"/>
              </w:rPr>
            </w:pPr>
            <w:r>
              <w:rPr>
                <w:bCs w:val="0"/>
                <w:color w:val="auto"/>
              </w:rPr>
              <w:t>东、南、西、北厂界</w:t>
            </w:r>
          </w:p>
        </w:tc>
        <w:tc>
          <w:tcPr>
            <w:tcW w:w="1666" w:type="pct"/>
            <w:vAlign w:val="center"/>
          </w:tcPr>
          <w:p>
            <w:pPr>
              <w:pStyle w:val="44"/>
              <w:rPr>
                <w:b/>
                <w:bCs w:val="0"/>
                <w:color w:val="auto"/>
              </w:rPr>
            </w:pPr>
            <w:r>
              <w:rPr>
                <w:bCs w:val="0"/>
                <w:color w:val="auto"/>
              </w:rPr>
              <w:t>等效连续A声级</w:t>
            </w:r>
          </w:p>
        </w:tc>
        <w:tc>
          <w:tcPr>
            <w:tcW w:w="1667" w:type="pct"/>
            <w:vAlign w:val="center"/>
          </w:tcPr>
          <w:p>
            <w:pPr>
              <w:pStyle w:val="44"/>
              <w:rPr>
                <w:b/>
                <w:bCs w:val="0"/>
                <w:color w:val="auto"/>
              </w:rPr>
            </w:pPr>
            <w:r>
              <w:rPr>
                <w:bCs w:val="0"/>
                <w:color w:val="auto"/>
              </w:rPr>
              <w:t>监测2天，昼夜</w:t>
            </w:r>
            <w:r>
              <w:rPr>
                <w:rFonts w:hint="eastAsia"/>
                <w:bCs w:val="0"/>
                <w:color w:val="auto"/>
              </w:rPr>
              <w:t>间1</w:t>
            </w:r>
            <w:r>
              <w:rPr>
                <w:bCs w:val="0"/>
                <w:color w:val="auto"/>
              </w:rPr>
              <w:t>次</w:t>
            </w:r>
          </w:p>
        </w:tc>
      </w:tr>
    </w:tbl>
    <w:p>
      <w:pPr>
        <w:pStyle w:val="5"/>
        <w:rPr>
          <w:rFonts w:cs="Times New Roman"/>
          <w:kern w:val="44"/>
          <w:szCs w:val="24"/>
        </w:rPr>
      </w:pPr>
      <w:bookmarkStart w:id="93" w:name="_Toc24171"/>
      <w:bookmarkStart w:id="94" w:name="_Toc5220"/>
      <w:bookmarkStart w:id="95" w:name="_Toc81808520"/>
      <w:r>
        <w:rPr>
          <w:rFonts w:cs="Times New Roman"/>
          <w:kern w:val="44"/>
          <w:szCs w:val="24"/>
        </w:rPr>
        <w:t>7</w:t>
      </w:r>
      <w:r>
        <w:rPr>
          <w:rFonts w:hint="eastAsia" w:cs="Times New Roman"/>
          <w:kern w:val="44"/>
          <w:szCs w:val="24"/>
        </w:rPr>
        <w:t>.</w:t>
      </w:r>
      <w:r>
        <w:rPr>
          <w:rFonts w:cs="Times New Roman"/>
          <w:kern w:val="44"/>
          <w:szCs w:val="24"/>
        </w:rPr>
        <w:t>4固废</w:t>
      </w:r>
      <w:bookmarkEnd w:id="93"/>
      <w:bookmarkEnd w:id="94"/>
      <w:bookmarkEnd w:id="95"/>
    </w:p>
    <w:p>
      <w:pPr>
        <w:ind w:firstLine="480"/>
        <w:rPr>
          <w:rFonts w:cs="Times New Roman"/>
        </w:rPr>
      </w:pPr>
      <w:r>
        <w:rPr>
          <w:rFonts w:cs="Times New Roman"/>
        </w:rPr>
        <w:t>调查项目产生的固体废弃物的种类、属性、年产生量和处理方式。</w:t>
      </w:r>
    </w:p>
    <w:p>
      <w:pPr>
        <w:pStyle w:val="4"/>
      </w:pPr>
      <w:r>
        <w:rPr>
          <w:rFonts w:cs="Times New Roman"/>
        </w:rPr>
        <w:br w:type="page"/>
      </w:r>
      <w:bookmarkStart w:id="96" w:name="_Toc515273921"/>
      <w:bookmarkStart w:id="97" w:name="_Toc81808521"/>
      <w:r>
        <w:rPr>
          <w:rFonts w:hint="eastAsia"/>
        </w:rPr>
        <w:t>8</w:t>
      </w:r>
      <w:r>
        <w:t xml:space="preserve"> 质量保证及质量控制</w:t>
      </w:r>
      <w:bookmarkEnd w:id="96"/>
      <w:bookmarkEnd w:id="97"/>
    </w:p>
    <w:p>
      <w:pPr>
        <w:pStyle w:val="5"/>
      </w:pPr>
      <w:bookmarkStart w:id="98" w:name="_Toc515273922"/>
      <w:bookmarkStart w:id="99" w:name="_Toc81808522"/>
      <w:r>
        <w:t>8.1监测分析方法</w:t>
      </w:r>
      <w:bookmarkEnd w:id="98"/>
      <w:bookmarkEnd w:id="99"/>
    </w:p>
    <w:p>
      <w:pPr>
        <w:autoSpaceDE w:val="0"/>
        <w:autoSpaceDN w:val="0"/>
        <w:adjustRightInd w:val="0"/>
        <w:ind w:firstLine="480"/>
        <w:rPr>
          <w:rFonts w:cs="Times New Roman"/>
        </w:rPr>
      </w:pPr>
      <w:r>
        <w:rPr>
          <w:rFonts w:cs="Times New Roman"/>
        </w:rPr>
        <w:t>监测分析方法见表8-1。</w:t>
      </w:r>
    </w:p>
    <w:p>
      <w:pPr>
        <w:pStyle w:val="39"/>
        <w:spacing w:before="62" w:after="31"/>
        <w:rPr>
          <w:color w:val="auto"/>
        </w:rPr>
      </w:pPr>
      <w:r>
        <w:rPr>
          <w:color w:val="auto"/>
        </w:rPr>
        <w:t>表8-1  分析监测方法一览表</w:t>
      </w:r>
    </w:p>
    <w:tbl>
      <w:tblPr>
        <w:tblStyle w:val="22"/>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567"/>
        <w:gridCol w:w="1380"/>
        <w:gridCol w:w="5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Align w:val="center"/>
          </w:tcPr>
          <w:p>
            <w:pPr>
              <w:pStyle w:val="44"/>
              <w:rPr>
                <w:b/>
                <w:bCs w:val="0"/>
                <w:color w:val="auto"/>
              </w:rPr>
            </w:pPr>
            <w:r>
              <w:rPr>
                <w:b/>
                <w:bCs w:val="0"/>
                <w:color w:val="auto"/>
              </w:rPr>
              <w:t>类型</w:t>
            </w:r>
          </w:p>
        </w:tc>
        <w:tc>
          <w:tcPr>
            <w:tcW w:w="1947" w:type="dxa"/>
            <w:gridSpan w:val="2"/>
            <w:vAlign w:val="center"/>
          </w:tcPr>
          <w:p>
            <w:pPr>
              <w:pStyle w:val="44"/>
              <w:rPr>
                <w:b/>
                <w:bCs w:val="0"/>
                <w:color w:val="auto"/>
              </w:rPr>
            </w:pPr>
            <w:r>
              <w:rPr>
                <w:b/>
                <w:bCs w:val="0"/>
                <w:color w:val="auto"/>
              </w:rPr>
              <w:t>监测项目</w:t>
            </w:r>
          </w:p>
        </w:tc>
        <w:tc>
          <w:tcPr>
            <w:tcW w:w="5711" w:type="dxa"/>
            <w:vAlign w:val="center"/>
          </w:tcPr>
          <w:p>
            <w:pPr>
              <w:pStyle w:val="44"/>
              <w:rPr>
                <w:b/>
                <w:bCs w:val="0"/>
                <w:color w:val="auto"/>
              </w:rPr>
            </w:pPr>
            <w:r>
              <w:rPr>
                <w:b/>
                <w:bCs w:val="0"/>
                <w:color w:val="auto"/>
              </w:rPr>
              <w:t>监测分析方法标准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pPr>
              <w:pStyle w:val="44"/>
              <w:rPr>
                <w:color w:val="auto"/>
              </w:rPr>
            </w:pPr>
            <w:r>
              <w:rPr>
                <w:color w:val="auto"/>
              </w:rPr>
              <w:t>废水</w:t>
            </w:r>
          </w:p>
        </w:tc>
        <w:tc>
          <w:tcPr>
            <w:tcW w:w="1947" w:type="dxa"/>
            <w:gridSpan w:val="2"/>
            <w:vAlign w:val="center"/>
          </w:tcPr>
          <w:p>
            <w:pPr>
              <w:pStyle w:val="44"/>
              <w:rPr>
                <w:color w:val="auto"/>
              </w:rPr>
            </w:pPr>
            <w:r>
              <w:rPr>
                <w:color w:val="auto"/>
              </w:rPr>
              <w:t>pH</w:t>
            </w:r>
            <w:r>
              <w:rPr>
                <w:rFonts w:hint="eastAsia"/>
                <w:color w:val="auto"/>
              </w:rPr>
              <w:t>值</w:t>
            </w:r>
          </w:p>
        </w:tc>
        <w:tc>
          <w:tcPr>
            <w:tcW w:w="5711" w:type="dxa"/>
            <w:vAlign w:val="center"/>
          </w:tcPr>
          <w:p>
            <w:pPr>
              <w:pStyle w:val="44"/>
              <w:rPr>
                <w:color w:val="auto"/>
              </w:rPr>
            </w:pPr>
            <w:r>
              <w:rPr>
                <w:rFonts w:hint="eastAsia"/>
                <w:color w:val="auto"/>
              </w:rPr>
              <w:t>水质 pH值的测定 电极法  HJ1147-2020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1947" w:type="dxa"/>
            <w:gridSpan w:val="2"/>
            <w:vAlign w:val="center"/>
          </w:tcPr>
          <w:p>
            <w:pPr>
              <w:pStyle w:val="44"/>
              <w:rPr>
                <w:color w:val="auto"/>
              </w:rPr>
            </w:pPr>
            <w:r>
              <w:rPr>
                <w:color w:val="auto"/>
              </w:rPr>
              <w:t>化学需氧量</w:t>
            </w:r>
          </w:p>
        </w:tc>
        <w:tc>
          <w:tcPr>
            <w:tcW w:w="5711" w:type="dxa"/>
            <w:vAlign w:val="center"/>
          </w:tcPr>
          <w:p>
            <w:pPr>
              <w:pStyle w:val="44"/>
              <w:rPr>
                <w:color w:val="auto"/>
              </w:rPr>
            </w:pPr>
            <w:r>
              <w:rPr>
                <w:color w:val="auto"/>
              </w:rPr>
              <w:t>水质 化学需氧量的测定 重铬酸盐法 HJ 828-2017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1947" w:type="dxa"/>
            <w:gridSpan w:val="2"/>
            <w:vAlign w:val="center"/>
          </w:tcPr>
          <w:p>
            <w:pPr>
              <w:pStyle w:val="44"/>
              <w:rPr>
                <w:color w:val="auto"/>
              </w:rPr>
            </w:pPr>
            <w:r>
              <w:rPr>
                <w:color w:val="auto"/>
              </w:rPr>
              <w:t>氨氮</w:t>
            </w:r>
          </w:p>
        </w:tc>
        <w:tc>
          <w:tcPr>
            <w:tcW w:w="5711" w:type="dxa"/>
            <w:vAlign w:val="center"/>
          </w:tcPr>
          <w:p>
            <w:pPr>
              <w:pStyle w:val="44"/>
              <w:rPr>
                <w:color w:val="auto"/>
              </w:rPr>
            </w:pPr>
            <w:r>
              <w:rPr>
                <w:color w:val="auto"/>
              </w:rPr>
              <w:t>水质 氨氮的测定 纳氏试剂分光光度法 HJ 535-2009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1947" w:type="dxa"/>
            <w:gridSpan w:val="2"/>
            <w:vAlign w:val="center"/>
          </w:tcPr>
          <w:p>
            <w:pPr>
              <w:pStyle w:val="44"/>
              <w:rPr>
                <w:color w:val="auto"/>
              </w:rPr>
            </w:pPr>
            <w:r>
              <w:rPr>
                <w:color w:val="auto"/>
              </w:rPr>
              <w:t>悬浮物</w:t>
            </w:r>
          </w:p>
        </w:tc>
        <w:tc>
          <w:tcPr>
            <w:tcW w:w="5711" w:type="dxa"/>
            <w:vAlign w:val="center"/>
          </w:tcPr>
          <w:p>
            <w:pPr>
              <w:pStyle w:val="44"/>
              <w:rPr>
                <w:color w:val="auto"/>
              </w:rPr>
            </w:pPr>
            <w:r>
              <w:rPr>
                <w:color w:val="auto"/>
              </w:rPr>
              <w:t>水质 悬浮物的测定 重量法 GB/T 11901-1989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1947" w:type="dxa"/>
            <w:gridSpan w:val="2"/>
            <w:vAlign w:val="center"/>
          </w:tcPr>
          <w:p>
            <w:pPr>
              <w:pStyle w:val="44"/>
              <w:rPr>
                <w:color w:val="auto"/>
              </w:rPr>
            </w:pPr>
            <w:r>
              <w:rPr>
                <w:rFonts w:hint="eastAsia"/>
                <w:color w:val="auto"/>
              </w:rPr>
              <w:t>五日生化需氧量</w:t>
            </w:r>
          </w:p>
        </w:tc>
        <w:tc>
          <w:tcPr>
            <w:tcW w:w="5711" w:type="dxa"/>
            <w:vAlign w:val="center"/>
          </w:tcPr>
          <w:p>
            <w:pPr>
              <w:pStyle w:val="44"/>
              <w:rPr>
                <w:color w:val="auto"/>
              </w:rPr>
            </w:pPr>
            <w:r>
              <w:rPr>
                <w:rFonts w:hint="eastAsia"/>
                <w:color w:val="auto"/>
              </w:rPr>
              <w:t>水质 五日生化需氧量（</w:t>
            </w:r>
            <w:r>
              <w:rPr>
                <w:color w:val="auto"/>
              </w:rPr>
              <w:t>BOD</w:t>
            </w:r>
            <w:r>
              <w:rPr>
                <w:color w:val="auto"/>
                <w:vertAlign w:val="subscript"/>
              </w:rPr>
              <w:t>5</w:t>
            </w:r>
            <w:r>
              <w:rPr>
                <w:rFonts w:hint="eastAsia"/>
                <w:color w:val="auto"/>
              </w:rPr>
              <w:t xml:space="preserve">）的测定 稀释与接种法 </w:t>
            </w:r>
            <w:r>
              <w:rPr>
                <w:color w:val="auto"/>
              </w:rPr>
              <w:t>HJ 505-2009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1947" w:type="dxa"/>
            <w:gridSpan w:val="2"/>
            <w:vAlign w:val="center"/>
          </w:tcPr>
          <w:p>
            <w:pPr>
              <w:pStyle w:val="44"/>
              <w:rPr>
                <w:color w:val="auto"/>
              </w:rPr>
            </w:pPr>
            <w:r>
              <w:rPr>
                <w:rFonts w:hint="eastAsia"/>
                <w:color w:val="auto"/>
              </w:rPr>
              <w:t>总磷</w:t>
            </w:r>
          </w:p>
        </w:tc>
        <w:tc>
          <w:tcPr>
            <w:tcW w:w="5711" w:type="dxa"/>
            <w:vAlign w:val="center"/>
          </w:tcPr>
          <w:p>
            <w:pPr>
              <w:pStyle w:val="44"/>
              <w:rPr>
                <w:color w:val="auto"/>
              </w:rPr>
            </w:pPr>
            <w:r>
              <w:rPr>
                <w:rFonts w:hint="eastAsia"/>
                <w:color w:val="auto"/>
              </w:rPr>
              <w:t>水质 总磷的测定 钼酸铵分光光度法 GB/T 11893-1989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jc w:val="center"/>
        </w:trPr>
        <w:tc>
          <w:tcPr>
            <w:tcW w:w="846" w:type="dxa"/>
            <w:vMerge w:val="continue"/>
            <w:vAlign w:val="center"/>
          </w:tcPr>
          <w:p>
            <w:pPr>
              <w:pStyle w:val="44"/>
              <w:rPr>
                <w:color w:val="auto"/>
              </w:rPr>
            </w:pPr>
          </w:p>
        </w:tc>
        <w:tc>
          <w:tcPr>
            <w:tcW w:w="1947" w:type="dxa"/>
            <w:gridSpan w:val="2"/>
            <w:vAlign w:val="center"/>
          </w:tcPr>
          <w:p>
            <w:pPr>
              <w:pStyle w:val="44"/>
              <w:rPr>
                <w:color w:val="auto"/>
              </w:rPr>
            </w:pPr>
            <w:r>
              <w:rPr>
                <w:rFonts w:hint="eastAsia"/>
                <w:color w:val="auto"/>
              </w:rPr>
              <w:t>色度</w:t>
            </w:r>
          </w:p>
        </w:tc>
        <w:tc>
          <w:tcPr>
            <w:tcW w:w="5711" w:type="dxa"/>
            <w:vAlign w:val="center"/>
          </w:tcPr>
          <w:p>
            <w:pPr>
              <w:pStyle w:val="44"/>
              <w:rPr>
                <w:color w:val="auto"/>
              </w:rPr>
            </w:pPr>
            <w:r>
              <w:rPr>
                <w:rFonts w:hint="eastAsia"/>
                <w:color w:val="auto"/>
              </w:rPr>
              <w:t>水质 色度的测定 稀释倍数法 HJ1182-2021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restart"/>
            <w:vAlign w:val="center"/>
          </w:tcPr>
          <w:p>
            <w:pPr>
              <w:pStyle w:val="44"/>
              <w:rPr>
                <w:color w:val="auto"/>
              </w:rPr>
            </w:pPr>
            <w:r>
              <w:rPr>
                <w:color w:val="auto"/>
              </w:rPr>
              <w:t>废气</w:t>
            </w:r>
          </w:p>
        </w:tc>
        <w:tc>
          <w:tcPr>
            <w:tcW w:w="567" w:type="dxa"/>
            <w:vMerge w:val="restart"/>
            <w:vAlign w:val="center"/>
          </w:tcPr>
          <w:p>
            <w:pPr>
              <w:pStyle w:val="44"/>
              <w:rPr>
                <w:color w:val="auto"/>
              </w:rPr>
            </w:pPr>
            <w:r>
              <w:rPr>
                <w:rFonts w:hint="eastAsia"/>
                <w:color w:val="auto"/>
              </w:rPr>
              <w:t>有</w:t>
            </w:r>
          </w:p>
          <w:p>
            <w:pPr>
              <w:pStyle w:val="44"/>
              <w:rPr>
                <w:color w:val="auto"/>
              </w:rPr>
            </w:pPr>
            <w:r>
              <w:rPr>
                <w:rFonts w:hint="eastAsia"/>
                <w:color w:val="auto"/>
              </w:rPr>
              <w:t>组</w:t>
            </w:r>
          </w:p>
          <w:p>
            <w:pPr>
              <w:pStyle w:val="44"/>
              <w:rPr>
                <w:color w:val="auto"/>
              </w:rPr>
            </w:pPr>
            <w:r>
              <w:rPr>
                <w:rFonts w:hint="eastAsia"/>
                <w:color w:val="auto"/>
              </w:rPr>
              <w:t>织</w:t>
            </w:r>
          </w:p>
          <w:p>
            <w:pPr>
              <w:pStyle w:val="44"/>
              <w:rPr>
                <w:color w:val="auto"/>
              </w:rPr>
            </w:pPr>
            <w:r>
              <w:rPr>
                <w:rFonts w:hint="eastAsia"/>
                <w:color w:val="auto"/>
              </w:rPr>
              <w:t>废</w:t>
            </w:r>
          </w:p>
          <w:p>
            <w:pPr>
              <w:pStyle w:val="44"/>
              <w:rPr>
                <w:color w:val="auto"/>
              </w:rPr>
            </w:pPr>
            <w:r>
              <w:rPr>
                <w:rFonts w:hint="eastAsia"/>
                <w:color w:val="auto"/>
              </w:rPr>
              <w:t>气</w:t>
            </w:r>
          </w:p>
        </w:tc>
        <w:tc>
          <w:tcPr>
            <w:tcW w:w="1380" w:type="dxa"/>
            <w:vAlign w:val="center"/>
          </w:tcPr>
          <w:p>
            <w:pPr>
              <w:pStyle w:val="44"/>
              <w:rPr>
                <w:color w:val="auto"/>
              </w:rPr>
            </w:pPr>
            <w:r>
              <w:rPr>
                <w:rFonts w:hint="eastAsia"/>
                <w:color w:val="auto"/>
              </w:rPr>
              <w:t>二氧化硫</w:t>
            </w:r>
          </w:p>
        </w:tc>
        <w:tc>
          <w:tcPr>
            <w:tcW w:w="5711" w:type="dxa"/>
            <w:vAlign w:val="center"/>
          </w:tcPr>
          <w:p>
            <w:pPr>
              <w:pStyle w:val="44"/>
              <w:rPr>
                <w:color w:val="auto"/>
              </w:rPr>
            </w:pPr>
            <w:r>
              <w:rPr>
                <w:color w:val="auto"/>
              </w:rPr>
              <w:t xml:space="preserve">固定污染源废气 二氧化硫的测定 </w:t>
            </w:r>
          </w:p>
          <w:p>
            <w:pPr>
              <w:pStyle w:val="44"/>
              <w:rPr>
                <w:color w:val="auto"/>
              </w:rPr>
            </w:pPr>
            <w:r>
              <w:rPr>
                <w:color w:val="auto"/>
              </w:rPr>
              <w:t>定电位电解法  HJ 57-2017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continue"/>
            <w:vAlign w:val="center"/>
          </w:tcPr>
          <w:p>
            <w:pPr>
              <w:pStyle w:val="44"/>
              <w:rPr>
                <w:color w:val="auto"/>
              </w:rPr>
            </w:pPr>
          </w:p>
        </w:tc>
        <w:tc>
          <w:tcPr>
            <w:tcW w:w="1380" w:type="dxa"/>
            <w:vAlign w:val="center"/>
          </w:tcPr>
          <w:p>
            <w:pPr>
              <w:pStyle w:val="44"/>
              <w:rPr>
                <w:color w:val="auto"/>
              </w:rPr>
            </w:pPr>
            <w:r>
              <w:rPr>
                <w:rFonts w:hint="eastAsia"/>
                <w:color w:val="auto"/>
              </w:rPr>
              <w:t>氮氧化物</w:t>
            </w:r>
          </w:p>
        </w:tc>
        <w:tc>
          <w:tcPr>
            <w:tcW w:w="5711" w:type="dxa"/>
            <w:vAlign w:val="center"/>
          </w:tcPr>
          <w:p>
            <w:pPr>
              <w:pStyle w:val="44"/>
              <w:rPr>
                <w:color w:val="auto"/>
              </w:rPr>
            </w:pPr>
            <w:r>
              <w:rPr>
                <w:color w:val="auto"/>
              </w:rPr>
              <w:t xml:space="preserve">固定污染源废气 氮氧化物的测定 </w:t>
            </w:r>
          </w:p>
          <w:p>
            <w:pPr>
              <w:pStyle w:val="44"/>
              <w:rPr>
                <w:color w:val="auto"/>
              </w:rPr>
            </w:pPr>
            <w:r>
              <w:rPr>
                <w:color w:val="auto"/>
              </w:rPr>
              <w:t>定电位电解法 HJ 693-2014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continue"/>
            <w:vAlign w:val="center"/>
          </w:tcPr>
          <w:p>
            <w:pPr>
              <w:pStyle w:val="44"/>
              <w:rPr>
                <w:color w:val="auto"/>
              </w:rPr>
            </w:pPr>
          </w:p>
        </w:tc>
        <w:tc>
          <w:tcPr>
            <w:tcW w:w="1380" w:type="dxa"/>
            <w:vAlign w:val="center"/>
          </w:tcPr>
          <w:p>
            <w:pPr>
              <w:pStyle w:val="44"/>
              <w:rPr>
                <w:color w:val="auto"/>
              </w:rPr>
            </w:pPr>
            <w:r>
              <w:rPr>
                <w:rFonts w:hint="eastAsia"/>
                <w:color w:val="auto"/>
              </w:rPr>
              <w:t>颗粒物</w:t>
            </w:r>
          </w:p>
        </w:tc>
        <w:tc>
          <w:tcPr>
            <w:tcW w:w="5711" w:type="dxa"/>
            <w:vAlign w:val="center"/>
          </w:tcPr>
          <w:p>
            <w:pPr>
              <w:pStyle w:val="44"/>
              <w:rPr>
                <w:color w:val="auto"/>
              </w:rPr>
            </w:pPr>
            <w:r>
              <w:rPr>
                <w:color w:val="auto"/>
              </w:rPr>
              <w:t>固定污染源废气 低浓度颗粒物的测定</w:t>
            </w:r>
          </w:p>
          <w:p>
            <w:pPr>
              <w:pStyle w:val="44"/>
              <w:rPr>
                <w:color w:val="auto"/>
              </w:rPr>
            </w:pPr>
            <w:r>
              <w:rPr>
                <w:color w:val="auto"/>
              </w:rPr>
              <w:t>重量法 HJ 836-2017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continue"/>
            <w:vAlign w:val="center"/>
          </w:tcPr>
          <w:p>
            <w:pPr>
              <w:pStyle w:val="44"/>
              <w:rPr>
                <w:color w:val="auto"/>
              </w:rPr>
            </w:pPr>
          </w:p>
        </w:tc>
        <w:tc>
          <w:tcPr>
            <w:tcW w:w="1380" w:type="dxa"/>
            <w:vAlign w:val="center"/>
          </w:tcPr>
          <w:p>
            <w:pPr>
              <w:pStyle w:val="44"/>
              <w:rPr>
                <w:color w:val="auto"/>
              </w:rPr>
            </w:pPr>
            <w:r>
              <w:rPr>
                <w:color w:val="auto"/>
              </w:rPr>
              <w:t>非甲烷总烃</w:t>
            </w:r>
          </w:p>
        </w:tc>
        <w:tc>
          <w:tcPr>
            <w:tcW w:w="5711" w:type="dxa"/>
            <w:vAlign w:val="center"/>
          </w:tcPr>
          <w:p>
            <w:pPr>
              <w:pStyle w:val="44"/>
              <w:rPr>
                <w:color w:val="auto"/>
              </w:rPr>
            </w:pPr>
            <w:r>
              <w:rPr>
                <w:rFonts w:hint="eastAsia"/>
                <w:color w:val="auto"/>
              </w:rPr>
              <w:t>固定污染源废气 总烃、甲烷和非甲烷总烃的测定 气相色谱法 HJ 38-2017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continue"/>
            <w:vAlign w:val="center"/>
          </w:tcPr>
          <w:p>
            <w:pPr>
              <w:pStyle w:val="44"/>
              <w:rPr>
                <w:color w:val="auto"/>
              </w:rPr>
            </w:pPr>
          </w:p>
        </w:tc>
        <w:tc>
          <w:tcPr>
            <w:tcW w:w="1380" w:type="dxa"/>
            <w:vAlign w:val="center"/>
          </w:tcPr>
          <w:p>
            <w:pPr>
              <w:pStyle w:val="44"/>
              <w:rPr>
                <w:color w:val="auto"/>
              </w:rPr>
            </w:pPr>
            <w:r>
              <w:rPr>
                <w:rFonts w:hint="eastAsia"/>
                <w:color w:val="auto"/>
              </w:rPr>
              <w:t>臭气浓度</w:t>
            </w:r>
          </w:p>
        </w:tc>
        <w:tc>
          <w:tcPr>
            <w:tcW w:w="5711" w:type="dxa"/>
            <w:vAlign w:val="center"/>
          </w:tcPr>
          <w:p>
            <w:pPr>
              <w:pStyle w:val="44"/>
              <w:rPr>
                <w:color w:val="auto"/>
              </w:rPr>
            </w:pPr>
            <w:r>
              <w:rPr>
                <w:rFonts w:hint="eastAsia"/>
                <w:color w:val="auto"/>
              </w:rPr>
              <w:t>空气质量 恶臭的测定</w:t>
            </w:r>
          </w:p>
          <w:p>
            <w:pPr>
              <w:pStyle w:val="44"/>
              <w:rPr>
                <w:color w:val="auto"/>
              </w:rPr>
            </w:pPr>
            <w:r>
              <w:rPr>
                <w:rFonts w:hint="eastAsia"/>
                <w:color w:val="auto"/>
              </w:rPr>
              <w:t>三点比较式臭袋法 GB</w:t>
            </w:r>
            <w:r>
              <w:rPr>
                <w:color w:val="auto"/>
              </w:rPr>
              <w:t>/</w:t>
            </w:r>
            <w:r>
              <w:rPr>
                <w:rFonts w:hint="eastAsia"/>
                <w:color w:val="auto"/>
              </w:rPr>
              <w:t>T</w:t>
            </w:r>
            <w:r>
              <w:rPr>
                <w:color w:val="auto"/>
              </w:rPr>
              <w:t>14675-1996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restart"/>
            <w:vAlign w:val="center"/>
          </w:tcPr>
          <w:p>
            <w:pPr>
              <w:pStyle w:val="44"/>
              <w:rPr>
                <w:color w:val="auto"/>
              </w:rPr>
            </w:pPr>
            <w:r>
              <w:rPr>
                <w:rFonts w:hint="eastAsia"/>
                <w:color w:val="auto"/>
              </w:rPr>
              <w:t>无</w:t>
            </w:r>
          </w:p>
          <w:p>
            <w:pPr>
              <w:pStyle w:val="44"/>
              <w:rPr>
                <w:color w:val="auto"/>
              </w:rPr>
            </w:pPr>
            <w:r>
              <w:rPr>
                <w:rFonts w:hint="eastAsia"/>
                <w:color w:val="auto"/>
              </w:rPr>
              <w:t>组</w:t>
            </w:r>
          </w:p>
          <w:p>
            <w:pPr>
              <w:pStyle w:val="44"/>
              <w:rPr>
                <w:color w:val="auto"/>
              </w:rPr>
            </w:pPr>
            <w:r>
              <w:rPr>
                <w:rFonts w:hint="eastAsia"/>
                <w:color w:val="auto"/>
              </w:rPr>
              <w:t>织</w:t>
            </w:r>
          </w:p>
          <w:p>
            <w:pPr>
              <w:pStyle w:val="44"/>
              <w:rPr>
                <w:color w:val="auto"/>
              </w:rPr>
            </w:pPr>
            <w:r>
              <w:rPr>
                <w:rFonts w:hint="eastAsia"/>
                <w:color w:val="auto"/>
              </w:rPr>
              <w:t>废</w:t>
            </w:r>
          </w:p>
          <w:p>
            <w:pPr>
              <w:pStyle w:val="44"/>
              <w:rPr>
                <w:color w:val="auto"/>
              </w:rPr>
            </w:pPr>
            <w:r>
              <w:rPr>
                <w:rFonts w:hint="eastAsia"/>
                <w:color w:val="auto"/>
              </w:rPr>
              <w:t>气</w:t>
            </w:r>
          </w:p>
        </w:tc>
        <w:tc>
          <w:tcPr>
            <w:tcW w:w="1380" w:type="dxa"/>
            <w:vAlign w:val="center"/>
          </w:tcPr>
          <w:p>
            <w:pPr>
              <w:pStyle w:val="44"/>
              <w:rPr>
                <w:color w:val="auto"/>
              </w:rPr>
            </w:pPr>
            <w:r>
              <w:rPr>
                <w:rFonts w:hint="eastAsia"/>
                <w:color w:val="auto"/>
              </w:rPr>
              <w:t>总悬浮颗粒物</w:t>
            </w:r>
          </w:p>
        </w:tc>
        <w:tc>
          <w:tcPr>
            <w:tcW w:w="5711" w:type="dxa"/>
            <w:vAlign w:val="center"/>
          </w:tcPr>
          <w:p>
            <w:pPr>
              <w:pStyle w:val="44"/>
              <w:rPr>
                <w:color w:val="auto"/>
              </w:rPr>
            </w:pPr>
            <w:r>
              <w:rPr>
                <w:rFonts w:hint="eastAsia"/>
                <w:color w:val="auto"/>
              </w:rPr>
              <w:t>环境空气 总悬浮颗粒物的测定 重量法 GB/T15432-1995及其修改单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continue"/>
            <w:vAlign w:val="center"/>
          </w:tcPr>
          <w:p>
            <w:pPr>
              <w:pStyle w:val="44"/>
              <w:rPr>
                <w:color w:val="auto"/>
              </w:rPr>
            </w:pPr>
          </w:p>
        </w:tc>
        <w:tc>
          <w:tcPr>
            <w:tcW w:w="1380" w:type="dxa"/>
            <w:vAlign w:val="center"/>
          </w:tcPr>
          <w:p>
            <w:pPr>
              <w:pStyle w:val="44"/>
              <w:rPr>
                <w:color w:val="auto"/>
              </w:rPr>
            </w:pPr>
            <w:r>
              <w:rPr>
                <w:rFonts w:hint="eastAsia"/>
                <w:color w:val="auto"/>
              </w:rPr>
              <w:t>非甲烷总烃</w:t>
            </w:r>
          </w:p>
        </w:tc>
        <w:tc>
          <w:tcPr>
            <w:tcW w:w="5711" w:type="dxa"/>
            <w:vAlign w:val="center"/>
          </w:tcPr>
          <w:p>
            <w:pPr>
              <w:pStyle w:val="44"/>
              <w:rPr>
                <w:color w:val="auto"/>
              </w:rPr>
            </w:pPr>
            <w:r>
              <w:rPr>
                <w:rFonts w:hint="eastAsia"/>
                <w:color w:val="auto"/>
              </w:rPr>
              <w:t>环境空气 总烃、甲烷和非甲烷总烃的测定直接进样-气相色谱法 HJ</w:t>
            </w:r>
            <w:r>
              <w:rPr>
                <w:color w:val="auto"/>
              </w:rPr>
              <w:t>604-2017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Merge w:val="continue"/>
            <w:vAlign w:val="center"/>
          </w:tcPr>
          <w:p>
            <w:pPr>
              <w:pStyle w:val="44"/>
              <w:rPr>
                <w:color w:val="auto"/>
              </w:rPr>
            </w:pPr>
          </w:p>
        </w:tc>
        <w:tc>
          <w:tcPr>
            <w:tcW w:w="567" w:type="dxa"/>
            <w:vMerge w:val="continue"/>
            <w:vAlign w:val="center"/>
          </w:tcPr>
          <w:p>
            <w:pPr>
              <w:pStyle w:val="44"/>
              <w:rPr>
                <w:color w:val="auto"/>
              </w:rPr>
            </w:pPr>
          </w:p>
        </w:tc>
        <w:tc>
          <w:tcPr>
            <w:tcW w:w="1380" w:type="dxa"/>
            <w:vAlign w:val="center"/>
          </w:tcPr>
          <w:p>
            <w:pPr>
              <w:pStyle w:val="44"/>
              <w:rPr>
                <w:color w:val="auto"/>
              </w:rPr>
            </w:pPr>
            <w:r>
              <w:rPr>
                <w:rFonts w:hint="eastAsia"/>
                <w:color w:val="auto"/>
              </w:rPr>
              <w:t>臭气浓度</w:t>
            </w:r>
          </w:p>
        </w:tc>
        <w:tc>
          <w:tcPr>
            <w:tcW w:w="5711" w:type="dxa"/>
            <w:vAlign w:val="center"/>
          </w:tcPr>
          <w:p>
            <w:pPr>
              <w:pStyle w:val="44"/>
              <w:rPr>
                <w:color w:val="auto"/>
              </w:rPr>
            </w:pPr>
            <w:r>
              <w:rPr>
                <w:rFonts w:hint="eastAsia"/>
                <w:color w:val="auto"/>
              </w:rPr>
              <w:t>空气质量 恶臭的测定三点比较式臭袋法 GB</w:t>
            </w:r>
            <w:r>
              <w:rPr>
                <w:color w:val="auto"/>
              </w:rPr>
              <w:t>/</w:t>
            </w:r>
            <w:r>
              <w:rPr>
                <w:rFonts w:hint="eastAsia"/>
                <w:color w:val="auto"/>
              </w:rPr>
              <w:t>T</w:t>
            </w:r>
            <w:r>
              <w:rPr>
                <w:color w:val="auto"/>
              </w:rPr>
              <w:t>14675-1996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6" w:type="dxa"/>
            <w:vAlign w:val="center"/>
          </w:tcPr>
          <w:p>
            <w:pPr>
              <w:pStyle w:val="44"/>
              <w:rPr>
                <w:color w:val="auto"/>
              </w:rPr>
            </w:pPr>
            <w:r>
              <w:rPr>
                <w:color w:val="auto"/>
              </w:rPr>
              <w:t>噪声</w:t>
            </w:r>
          </w:p>
        </w:tc>
        <w:tc>
          <w:tcPr>
            <w:tcW w:w="1947" w:type="dxa"/>
            <w:gridSpan w:val="2"/>
            <w:vAlign w:val="center"/>
          </w:tcPr>
          <w:p>
            <w:pPr>
              <w:pStyle w:val="44"/>
              <w:rPr>
                <w:color w:val="auto"/>
              </w:rPr>
            </w:pPr>
            <w:r>
              <w:rPr>
                <w:rFonts w:hint="eastAsia"/>
                <w:color w:val="auto"/>
              </w:rPr>
              <w:t>工业企业</w:t>
            </w:r>
            <w:r>
              <w:rPr>
                <w:color w:val="auto"/>
              </w:rPr>
              <w:t>厂界噪声</w:t>
            </w:r>
          </w:p>
        </w:tc>
        <w:tc>
          <w:tcPr>
            <w:tcW w:w="5711" w:type="dxa"/>
            <w:vAlign w:val="center"/>
          </w:tcPr>
          <w:p>
            <w:pPr>
              <w:pStyle w:val="44"/>
              <w:rPr>
                <w:color w:val="auto"/>
              </w:rPr>
            </w:pPr>
            <w:r>
              <w:rPr>
                <w:color w:val="auto"/>
              </w:rPr>
              <w:t>工业企业厂界环境噪声排放标准 GB 12348-2008</w:t>
            </w:r>
          </w:p>
        </w:tc>
      </w:tr>
    </w:tbl>
    <w:p>
      <w:pPr>
        <w:pStyle w:val="5"/>
      </w:pPr>
      <w:bookmarkStart w:id="100" w:name="_Toc515273923"/>
      <w:bookmarkStart w:id="101" w:name="_Toc81808523"/>
      <w:r>
        <w:t>8.2监测仪器</w:t>
      </w:r>
      <w:bookmarkEnd w:id="100"/>
      <w:bookmarkEnd w:id="101"/>
    </w:p>
    <w:p>
      <w:pPr>
        <w:ind w:firstLine="480"/>
        <w:rPr>
          <w:rFonts w:cs="Times New Roman"/>
        </w:rPr>
      </w:pPr>
      <w:r>
        <w:rPr>
          <w:rFonts w:cs="Times New Roman"/>
        </w:rPr>
        <w:t>监测仪器见表8-2。</w:t>
      </w:r>
    </w:p>
    <w:p>
      <w:pPr>
        <w:pStyle w:val="39"/>
        <w:spacing w:before="62" w:after="31"/>
        <w:rPr>
          <w:color w:val="auto"/>
        </w:rPr>
      </w:pPr>
      <w:r>
        <w:rPr>
          <w:color w:val="auto"/>
        </w:rPr>
        <w:t>表8-2  分析监测方法一览表</w:t>
      </w:r>
    </w:p>
    <w:tbl>
      <w:tblPr>
        <w:tblStyle w:val="22"/>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425"/>
        <w:gridCol w:w="1560"/>
        <w:gridCol w:w="3260"/>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704" w:type="dxa"/>
            <w:vAlign w:val="center"/>
          </w:tcPr>
          <w:p>
            <w:pPr>
              <w:pStyle w:val="44"/>
              <w:rPr>
                <w:b/>
                <w:bCs w:val="0"/>
                <w:color w:val="auto"/>
              </w:rPr>
            </w:pPr>
            <w:bookmarkStart w:id="102" w:name="_Hlk73978707"/>
            <w:r>
              <w:rPr>
                <w:b/>
                <w:bCs w:val="0"/>
                <w:color w:val="auto"/>
              </w:rPr>
              <w:t>类型</w:t>
            </w:r>
          </w:p>
        </w:tc>
        <w:tc>
          <w:tcPr>
            <w:tcW w:w="1985" w:type="dxa"/>
            <w:gridSpan w:val="2"/>
            <w:vAlign w:val="center"/>
          </w:tcPr>
          <w:p>
            <w:pPr>
              <w:pStyle w:val="44"/>
              <w:rPr>
                <w:b/>
                <w:bCs w:val="0"/>
                <w:color w:val="auto"/>
              </w:rPr>
            </w:pPr>
            <w:r>
              <w:rPr>
                <w:b/>
                <w:bCs w:val="0"/>
                <w:color w:val="auto"/>
              </w:rPr>
              <w:t>监测项目</w:t>
            </w:r>
          </w:p>
        </w:tc>
        <w:tc>
          <w:tcPr>
            <w:tcW w:w="3260" w:type="dxa"/>
            <w:vAlign w:val="center"/>
          </w:tcPr>
          <w:p>
            <w:pPr>
              <w:pStyle w:val="44"/>
              <w:rPr>
                <w:b/>
                <w:bCs w:val="0"/>
                <w:color w:val="auto"/>
              </w:rPr>
            </w:pPr>
            <w:r>
              <w:rPr>
                <w:b/>
                <w:bCs w:val="0"/>
                <w:color w:val="auto"/>
              </w:rPr>
              <w:t>仪器</w:t>
            </w:r>
          </w:p>
        </w:tc>
        <w:tc>
          <w:tcPr>
            <w:tcW w:w="1559" w:type="dxa"/>
            <w:vAlign w:val="center"/>
          </w:tcPr>
          <w:p>
            <w:pPr>
              <w:pStyle w:val="44"/>
              <w:rPr>
                <w:b/>
                <w:bCs w:val="0"/>
                <w:color w:val="auto"/>
              </w:rPr>
            </w:pPr>
            <w:r>
              <w:rPr>
                <w:b/>
                <w:bCs w:val="0"/>
                <w:color w:val="auto"/>
              </w:rPr>
              <w:t>型号</w:t>
            </w:r>
          </w:p>
        </w:tc>
        <w:tc>
          <w:tcPr>
            <w:tcW w:w="1276" w:type="dxa"/>
            <w:vAlign w:val="center"/>
          </w:tcPr>
          <w:p>
            <w:pPr>
              <w:pStyle w:val="44"/>
              <w:rPr>
                <w:b/>
                <w:bCs w:val="0"/>
                <w:color w:val="auto"/>
                <w:sz w:val="20"/>
                <w:szCs w:val="32"/>
              </w:rPr>
            </w:pPr>
            <w:r>
              <w:rPr>
                <w:b/>
                <w:bCs w:val="0"/>
                <w:color w:val="auto"/>
                <w:sz w:val="20"/>
                <w:szCs w:val="32"/>
              </w:rPr>
              <w:t>自校准或检定校准或计量检定情况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restart"/>
            <w:vAlign w:val="center"/>
          </w:tcPr>
          <w:p>
            <w:pPr>
              <w:pStyle w:val="44"/>
              <w:rPr>
                <w:b/>
                <w:bCs w:val="0"/>
                <w:color w:val="auto"/>
              </w:rPr>
            </w:pPr>
            <w:r>
              <w:rPr>
                <w:bCs w:val="0"/>
                <w:color w:val="auto"/>
              </w:rPr>
              <w:t>废水</w:t>
            </w:r>
          </w:p>
        </w:tc>
        <w:tc>
          <w:tcPr>
            <w:tcW w:w="1985" w:type="dxa"/>
            <w:gridSpan w:val="2"/>
            <w:vAlign w:val="center"/>
          </w:tcPr>
          <w:p>
            <w:pPr>
              <w:pStyle w:val="44"/>
              <w:rPr>
                <w:b/>
                <w:bCs w:val="0"/>
                <w:color w:val="auto"/>
              </w:rPr>
            </w:pPr>
            <w:r>
              <w:rPr>
                <w:bCs w:val="0"/>
                <w:color w:val="auto"/>
              </w:rPr>
              <w:t>pH</w:t>
            </w:r>
            <w:r>
              <w:rPr>
                <w:rFonts w:hint="eastAsia"/>
                <w:bCs w:val="0"/>
                <w:color w:val="auto"/>
              </w:rPr>
              <w:t>值</w:t>
            </w:r>
          </w:p>
        </w:tc>
        <w:tc>
          <w:tcPr>
            <w:tcW w:w="3260" w:type="dxa"/>
            <w:vAlign w:val="center"/>
          </w:tcPr>
          <w:p>
            <w:pPr>
              <w:pStyle w:val="44"/>
              <w:rPr>
                <w:b/>
                <w:bCs w:val="0"/>
                <w:color w:val="auto"/>
              </w:rPr>
            </w:pPr>
            <w:r>
              <w:rPr>
                <w:rFonts w:hint="eastAsia" w:eastAsia="宋体"/>
                <w:bCs w:val="0"/>
                <w:color w:val="auto"/>
                <w:kern w:val="0"/>
                <w:szCs w:val="21"/>
              </w:rPr>
              <w:t>PHB-4便携式pH计</w:t>
            </w:r>
          </w:p>
        </w:tc>
        <w:tc>
          <w:tcPr>
            <w:tcW w:w="1559" w:type="dxa"/>
            <w:vAlign w:val="center"/>
          </w:tcPr>
          <w:p>
            <w:pPr>
              <w:pStyle w:val="44"/>
              <w:rPr>
                <w:b/>
                <w:bCs w:val="0"/>
                <w:color w:val="auto"/>
              </w:rPr>
            </w:pPr>
            <w:r>
              <w:rPr>
                <w:rFonts w:eastAsia="宋体"/>
                <w:bCs w:val="0"/>
                <w:color w:val="auto"/>
                <w:kern w:val="0"/>
                <w:szCs w:val="21"/>
              </w:rPr>
              <w:t>CY-2020-009</w:t>
            </w:r>
          </w:p>
        </w:tc>
        <w:tc>
          <w:tcPr>
            <w:tcW w:w="1276" w:type="dxa"/>
            <w:vAlign w:val="center"/>
          </w:tcPr>
          <w:p>
            <w:pPr>
              <w:pStyle w:val="44"/>
              <w:rPr>
                <w:b/>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b/>
                <w:bCs w:val="0"/>
                <w:color w:val="auto"/>
              </w:rPr>
            </w:pPr>
          </w:p>
        </w:tc>
        <w:tc>
          <w:tcPr>
            <w:tcW w:w="1985" w:type="dxa"/>
            <w:gridSpan w:val="2"/>
            <w:vAlign w:val="center"/>
          </w:tcPr>
          <w:p>
            <w:pPr>
              <w:pStyle w:val="44"/>
              <w:rPr>
                <w:b/>
                <w:bCs w:val="0"/>
                <w:color w:val="auto"/>
              </w:rPr>
            </w:pPr>
            <w:r>
              <w:rPr>
                <w:bCs w:val="0"/>
                <w:color w:val="auto"/>
              </w:rPr>
              <w:t>化学需氧量</w:t>
            </w:r>
          </w:p>
        </w:tc>
        <w:tc>
          <w:tcPr>
            <w:tcW w:w="3260" w:type="dxa"/>
            <w:vAlign w:val="center"/>
          </w:tcPr>
          <w:p>
            <w:pPr>
              <w:pStyle w:val="44"/>
              <w:rPr>
                <w:b/>
                <w:bCs w:val="0"/>
                <w:color w:val="auto"/>
              </w:rPr>
            </w:pPr>
            <w:r>
              <w:rPr>
                <w:rFonts w:eastAsia="宋体"/>
                <w:bCs w:val="0"/>
                <w:color w:val="auto"/>
                <w:szCs w:val="21"/>
              </w:rPr>
              <w:t>酸式50ml滴定管</w:t>
            </w:r>
          </w:p>
        </w:tc>
        <w:tc>
          <w:tcPr>
            <w:tcW w:w="1559" w:type="dxa"/>
            <w:vAlign w:val="center"/>
          </w:tcPr>
          <w:p>
            <w:pPr>
              <w:pStyle w:val="44"/>
              <w:rPr>
                <w:b/>
                <w:bCs w:val="0"/>
                <w:color w:val="auto"/>
              </w:rPr>
            </w:pPr>
            <w:r>
              <w:rPr>
                <w:rFonts w:eastAsia="宋体"/>
                <w:bCs w:val="0"/>
                <w:color w:val="auto"/>
                <w:szCs w:val="21"/>
              </w:rPr>
              <w:t>B-071</w:t>
            </w:r>
          </w:p>
        </w:tc>
        <w:tc>
          <w:tcPr>
            <w:tcW w:w="1276" w:type="dxa"/>
            <w:vAlign w:val="center"/>
          </w:tcPr>
          <w:p>
            <w:pPr>
              <w:pStyle w:val="44"/>
              <w:rPr>
                <w:b/>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b/>
                <w:bCs w:val="0"/>
                <w:color w:val="auto"/>
              </w:rPr>
            </w:pPr>
          </w:p>
        </w:tc>
        <w:tc>
          <w:tcPr>
            <w:tcW w:w="1985" w:type="dxa"/>
            <w:gridSpan w:val="2"/>
            <w:vAlign w:val="center"/>
          </w:tcPr>
          <w:p>
            <w:pPr>
              <w:pStyle w:val="44"/>
              <w:rPr>
                <w:b/>
                <w:bCs w:val="0"/>
                <w:color w:val="auto"/>
              </w:rPr>
            </w:pPr>
            <w:r>
              <w:rPr>
                <w:bCs w:val="0"/>
                <w:color w:val="auto"/>
              </w:rPr>
              <w:t>氨氮</w:t>
            </w:r>
          </w:p>
        </w:tc>
        <w:tc>
          <w:tcPr>
            <w:tcW w:w="3260" w:type="dxa"/>
            <w:vAlign w:val="center"/>
          </w:tcPr>
          <w:p>
            <w:pPr>
              <w:pStyle w:val="44"/>
              <w:rPr>
                <w:b/>
                <w:bCs w:val="0"/>
                <w:color w:val="auto"/>
              </w:rPr>
            </w:pPr>
            <w:r>
              <w:rPr>
                <w:rFonts w:eastAsia="宋体"/>
                <w:bCs w:val="0"/>
                <w:color w:val="auto"/>
                <w:szCs w:val="21"/>
              </w:rPr>
              <w:t>752N紫外可见分光光度计</w:t>
            </w:r>
          </w:p>
        </w:tc>
        <w:tc>
          <w:tcPr>
            <w:tcW w:w="1559" w:type="dxa"/>
            <w:vAlign w:val="center"/>
          </w:tcPr>
          <w:p>
            <w:pPr>
              <w:pStyle w:val="44"/>
              <w:rPr>
                <w:b/>
                <w:bCs w:val="0"/>
                <w:color w:val="auto"/>
              </w:rPr>
            </w:pPr>
            <w:r>
              <w:rPr>
                <w:rFonts w:eastAsia="宋体"/>
                <w:bCs w:val="0"/>
                <w:color w:val="auto"/>
                <w:szCs w:val="21"/>
              </w:rPr>
              <w:t>SY-2020-004</w:t>
            </w:r>
          </w:p>
        </w:tc>
        <w:tc>
          <w:tcPr>
            <w:tcW w:w="1276" w:type="dxa"/>
            <w:vAlign w:val="center"/>
          </w:tcPr>
          <w:p>
            <w:pPr>
              <w:pStyle w:val="44"/>
              <w:rPr>
                <w:b/>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b/>
                <w:bCs w:val="0"/>
                <w:color w:val="auto"/>
              </w:rPr>
            </w:pPr>
          </w:p>
        </w:tc>
        <w:tc>
          <w:tcPr>
            <w:tcW w:w="1985" w:type="dxa"/>
            <w:gridSpan w:val="2"/>
            <w:vAlign w:val="center"/>
          </w:tcPr>
          <w:p>
            <w:pPr>
              <w:pStyle w:val="44"/>
              <w:rPr>
                <w:b/>
                <w:bCs w:val="0"/>
                <w:color w:val="auto"/>
              </w:rPr>
            </w:pPr>
            <w:r>
              <w:rPr>
                <w:bCs w:val="0"/>
                <w:color w:val="auto"/>
              </w:rPr>
              <w:t>悬浮物</w:t>
            </w:r>
          </w:p>
        </w:tc>
        <w:tc>
          <w:tcPr>
            <w:tcW w:w="3260" w:type="dxa"/>
            <w:vAlign w:val="center"/>
          </w:tcPr>
          <w:p>
            <w:pPr>
              <w:pStyle w:val="44"/>
              <w:rPr>
                <w:rFonts w:eastAsia="宋体"/>
                <w:bCs w:val="0"/>
                <w:color w:val="auto"/>
                <w:szCs w:val="21"/>
              </w:rPr>
            </w:pPr>
            <w:r>
              <w:rPr>
                <w:rFonts w:eastAsia="宋体"/>
                <w:bCs w:val="0"/>
                <w:color w:val="auto"/>
                <w:szCs w:val="21"/>
              </w:rPr>
              <w:t>PWN125DZH电子天平</w:t>
            </w:r>
            <w:r>
              <w:rPr>
                <w:rFonts w:hint="eastAsia" w:eastAsia="宋体"/>
                <w:bCs w:val="0"/>
                <w:color w:val="auto"/>
                <w:szCs w:val="21"/>
              </w:rPr>
              <w:t>、</w:t>
            </w:r>
          </w:p>
          <w:p>
            <w:pPr>
              <w:pStyle w:val="44"/>
              <w:rPr>
                <w:b/>
                <w:bCs w:val="0"/>
                <w:color w:val="auto"/>
              </w:rPr>
            </w:pPr>
            <w:r>
              <w:rPr>
                <w:rFonts w:hint="eastAsia" w:eastAsia="宋体"/>
                <w:bCs w:val="0"/>
                <w:color w:val="auto"/>
                <w:szCs w:val="21"/>
              </w:rPr>
              <w:t>GZX-9076MBE电热鼓风干燥箱</w:t>
            </w:r>
          </w:p>
        </w:tc>
        <w:tc>
          <w:tcPr>
            <w:tcW w:w="1559" w:type="dxa"/>
            <w:vAlign w:val="center"/>
          </w:tcPr>
          <w:p>
            <w:pPr>
              <w:pStyle w:val="44"/>
              <w:rPr>
                <w:b/>
                <w:bCs w:val="0"/>
                <w:color w:val="auto"/>
              </w:rPr>
            </w:pPr>
            <w:r>
              <w:rPr>
                <w:rFonts w:eastAsia="宋体"/>
                <w:bCs w:val="0"/>
                <w:color w:val="auto"/>
                <w:szCs w:val="21"/>
              </w:rPr>
              <w:t>SY-2020-010</w:t>
            </w:r>
            <w:r>
              <w:rPr>
                <w:rFonts w:hint="eastAsia" w:eastAsia="宋体"/>
                <w:bCs w:val="0"/>
                <w:color w:val="auto"/>
                <w:szCs w:val="21"/>
              </w:rPr>
              <w:t>、SY-2020-016</w:t>
            </w:r>
          </w:p>
        </w:tc>
        <w:tc>
          <w:tcPr>
            <w:tcW w:w="1276" w:type="dxa"/>
            <w:vAlign w:val="center"/>
          </w:tcPr>
          <w:p>
            <w:pPr>
              <w:pStyle w:val="44"/>
              <w:rPr>
                <w:b/>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b/>
                <w:bCs w:val="0"/>
                <w:color w:val="auto"/>
              </w:rPr>
            </w:pPr>
          </w:p>
        </w:tc>
        <w:tc>
          <w:tcPr>
            <w:tcW w:w="1985" w:type="dxa"/>
            <w:gridSpan w:val="2"/>
            <w:vAlign w:val="center"/>
          </w:tcPr>
          <w:p>
            <w:pPr>
              <w:pStyle w:val="44"/>
              <w:rPr>
                <w:b/>
                <w:bCs w:val="0"/>
                <w:color w:val="auto"/>
              </w:rPr>
            </w:pPr>
            <w:r>
              <w:rPr>
                <w:rFonts w:hint="eastAsia"/>
                <w:bCs w:val="0"/>
                <w:color w:val="auto"/>
              </w:rPr>
              <w:t>五日生化需氧量</w:t>
            </w:r>
          </w:p>
        </w:tc>
        <w:tc>
          <w:tcPr>
            <w:tcW w:w="3260" w:type="dxa"/>
            <w:vAlign w:val="center"/>
          </w:tcPr>
          <w:p>
            <w:pPr>
              <w:pStyle w:val="44"/>
              <w:rPr>
                <w:b/>
                <w:bCs w:val="0"/>
                <w:color w:val="auto"/>
              </w:rPr>
            </w:pPr>
            <w:r>
              <w:rPr>
                <w:rFonts w:hint="eastAsia" w:eastAsia="宋体"/>
                <w:bCs w:val="0"/>
                <w:color w:val="auto"/>
                <w:szCs w:val="21"/>
              </w:rPr>
              <w:t>HSP-70B恒温恒湿培养箱</w:t>
            </w:r>
          </w:p>
        </w:tc>
        <w:tc>
          <w:tcPr>
            <w:tcW w:w="1559" w:type="dxa"/>
            <w:vAlign w:val="center"/>
          </w:tcPr>
          <w:p>
            <w:pPr>
              <w:pStyle w:val="44"/>
              <w:rPr>
                <w:b/>
                <w:bCs w:val="0"/>
                <w:color w:val="auto"/>
              </w:rPr>
            </w:pPr>
            <w:r>
              <w:rPr>
                <w:rFonts w:eastAsia="宋体"/>
                <w:bCs w:val="0"/>
                <w:color w:val="auto"/>
                <w:szCs w:val="21"/>
              </w:rPr>
              <w:t>SY-2020-033</w:t>
            </w:r>
          </w:p>
        </w:tc>
        <w:tc>
          <w:tcPr>
            <w:tcW w:w="1276" w:type="dxa"/>
            <w:vAlign w:val="center"/>
          </w:tcPr>
          <w:p>
            <w:pPr>
              <w:pStyle w:val="44"/>
              <w:rPr>
                <w:b/>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b/>
                <w:bCs w:val="0"/>
                <w:color w:val="auto"/>
              </w:rPr>
            </w:pPr>
          </w:p>
        </w:tc>
        <w:tc>
          <w:tcPr>
            <w:tcW w:w="1985" w:type="dxa"/>
            <w:gridSpan w:val="2"/>
            <w:vAlign w:val="center"/>
          </w:tcPr>
          <w:p>
            <w:pPr>
              <w:pStyle w:val="44"/>
              <w:rPr>
                <w:bCs w:val="0"/>
                <w:color w:val="auto"/>
              </w:rPr>
            </w:pPr>
            <w:r>
              <w:rPr>
                <w:rFonts w:hint="eastAsia"/>
                <w:bCs w:val="0"/>
                <w:color w:val="auto"/>
              </w:rPr>
              <w:t>总磷</w:t>
            </w:r>
          </w:p>
        </w:tc>
        <w:tc>
          <w:tcPr>
            <w:tcW w:w="3260" w:type="dxa"/>
            <w:vAlign w:val="center"/>
          </w:tcPr>
          <w:p>
            <w:pPr>
              <w:pStyle w:val="44"/>
              <w:rPr>
                <w:rFonts w:eastAsia="宋体"/>
                <w:bCs w:val="0"/>
                <w:color w:val="auto"/>
                <w:szCs w:val="21"/>
              </w:rPr>
            </w:pPr>
            <w:r>
              <w:rPr>
                <w:color w:val="auto"/>
                <w:kern w:val="0"/>
                <w:szCs w:val="21"/>
              </w:rPr>
              <w:t>752N紫外可见分光光度计</w:t>
            </w:r>
          </w:p>
        </w:tc>
        <w:tc>
          <w:tcPr>
            <w:tcW w:w="1559" w:type="dxa"/>
            <w:vAlign w:val="center"/>
          </w:tcPr>
          <w:p>
            <w:pPr>
              <w:pStyle w:val="44"/>
              <w:rPr>
                <w:rFonts w:eastAsia="宋体"/>
                <w:bCs w:val="0"/>
                <w:color w:val="auto"/>
                <w:szCs w:val="21"/>
              </w:rPr>
            </w:pPr>
            <w:r>
              <w:rPr>
                <w:color w:val="auto"/>
                <w:kern w:val="0"/>
                <w:szCs w:val="21"/>
              </w:rPr>
              <w:t>SY-2020-004</w:t>
            </w:r>
          </w:p>
        </w:tc>
        <w:tc>
          <w:tcPr>
            <w:tcW w:w="1276" w:type="dxa"/>
            <w:vAlign w:val="center"/>
          </w:tcPr>
          <w:p>
            <w:pPr>
              <w:pStyle w:val="44"/>
              <w:rPr>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b/>
                <w:bCs w:val="0"/>
                <w:color w:val="auto"/>
              </w:rPr>
            </w:pPr>
          </w:p>
        </w:tc>
        <w:tc>
          <w:tcPr>
            <w:tcW w:w="1985" w:type="dxa"/>
            <w:gridSpan w:val="2"/>
            <w:vAlign w:val="center"/>
          </w:tcPr>
          <w:p>
            <w:pPr>
              <w:pStyle w:val="44"/>
              <w:rPr>
                <w:b/>
                <w:bCs w:val="0"/>
                <w:color w:val="auto"/>
              </w:rPr>
            </w:pPr>
            <w:r>
              <w:rPr>
                <w:rFonts w:hint="eastAsia"/>
                <w:bCs w:val="0"/>
                <w:color w:val="auto"/>
              </w:rPr>
              <w:t>色度</w:t>
            </w:r>
          </w:p>
        </w:tc>
        <w:tc>
          <w:tcPr>
            <w:tcW w:w="3260" w:type="dxa"/>
            <w:vAlign w:val="center"/>
          </w:tcPr>
          <w:p>
            <w:pPr>
              <w:pStyle w:val="44"/>
              <w:rPr>
                <w:b/>
                <w:bCs w:val="0"/>
                <w:color w:val="auto"/>
              </w:rPr>
            </w:pPr>
            <w:r>
              <w:rPr>
                <w:rFonts w:eastAsia="宋体"/>
                <w:bCs w:val="0"/>
                <w:color w:val="auto"/>
                <w:szCs w:val="21"/>
              </w:rPr>
              <w:t>/</w:t>
            </w:r>
            <w:r>
              <w:rPr>
                <w:b/>
                <w:bCs w:val="0"/>
                <w:color w:val="auto"/>
              </w:rPr>
              <w:t xml:space="preserve"> </w:t>
            </w:r>
          </w:p>
        </w:tc>
        <w:tc>
          <w:tcPr>
            <w:tcW w:w="1559" w:type="dxa"/>
            <w:vAlign w:val="center"/>
          </w:tcPr>
          <w:p>
            <w:pPr>
              <w:pStyle w:val="44"/>
              <w:rPr>
                <w:b/>
                <w:bCs w:val="0"/>
                <w:color w:val="auto"/>
              </w:rPr>
            </w:pPr>
            <w:r>
              <w:rPr>
                <w:rFonts w:hint="eastAsia"/>
                <w:b/>
                <w:bCs w:val="0"/>
                <w:color w:val="auto"/>
              </w:rPr>
              <w:t>/</w:t>
            </w:r>
          </w:p>
        </w:tc>
        <w:tc>
          <w:tcPr>
            <w:tcW w:w="1276" w:type="dxa"/>
            <w:vAlign w:val="center"/>
          </w:tcPr>
          <w:p>
            <w:pPr>
              <w:pStyle w:val="44"/>
              <w:rPr>
                <w:b/>
                <w:bCs w:val="0"/>
                <w:color w:val="auto"/>
              </w:rPr>
            </w:pPr>
            <w:r>
              <w:rPr>
                <w:rFonts w:hint="eastAsia"/>
                <w:b/>
                <w:bCs w:val="0"/>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restart"/>
            <w:vAlign w:val="center"/>
          </w:tcPr>
          <w:p>
            <w:pPr>
              <w:pStyle w:val="44"/>
              <w:rPr>
                <w:b/>
                <w:bCs w:val="0"/>
                <w:color w:val="auto"/>
              </w:rPr>
            </w:pPr>
            <w:r>
              <w:rPr>
                <w:bCs w:val="0"/>
                <w:color w:val="auto"/>
              </w:rPr>
              <w:t>废气</w:t>
            </w:r>
          </w:p>
        </w:tc>
        <w:tc>
          <w:tcPr>
            <w:tcW w:w="425" w:type="dxa"/>
            <w:vMerge w:val="restart"/>
            <w:vAlign w:val="center"/>
          </w:tcPr>
          <w:p>
            <w:pPr>
              <w:pStyle w:val="44"/>
              <w:rPr>
                <w:b/>
                <w:bCs w:val="0"/>
                <w:color w:val="auto"/>
              </w:rPr>
            </w:pPr>
            <w:r>
              <w:rPr>
                <w:rFonts w:hint="eastAsia"/>
                <w:bCs w:val="0"/>
                <w:color w:val="auto"/>
              </w:rPr>
              <w:t>有组织废气</w:t>
            </w:r>
          </w:p>
        </w:tc>
        <w:tc>
          <w:tcPr>
            <w:tcW w:w="1560" w:type="dxa"/>
            <w:vAlign w:val="center"/>
          </w:tcPr>
          <w:p>
            <w:pPr>
              <w:pStyle w:val="44"/>
              <w:rPr>
                <w:b/>
                <w:bCs w:val="0"/>
                <w:color w:val="auto"/>
              </w:rPr>
            </w:pPr>
            <w:r>
              <w:rPr>
                <w:rFonts w:hint="eastAsia" w:eastAsia="宋体"/>
                <w:bCs w:val="0"/>
                <w:color w:val="auto"/>
                <w:szCs w:val="21"/>
              </w:rPr>
              <w:t>二氧化硫</w:t>
            </w:r>
          </w:p>
        </w:tc>
        <w:tc>
          <w:tcPr>
            <w:tcW w:w="3260" w:type="dxa"/>
            <w:vAlign w:val="center"/>
          </w:tcPr>
          <w:p>
            <w:pPr>
              <w:pStyle w:val="44"/>
              <w:rPr>
                <w:b/>
                <w:bCs w:val="0"/>
                <w:color w:val="auto"/>
              </w:rPr>
            </w:pPr>
            <w:r>
              <w:rPr>
                <w:rFonts w:eastAsia="宋体"/>
                <w:bCs w:val="0"/>
                <w:color w:val="auto"/>
                <w:szCs w:val="21"/>
              </w:rPr>
              <w:t>YQ3000-D大流量烟尘（气）测试仪</w:t>
            </w:r>
          </w:p>
        </w:tc>
        <w:tc>
          <w:tcPr>
            <w:tcW w:w="1559" w:type="dxa"/>
            <w:vAlign w:val="center"/>
          </w:tcPr>
          <w:p>
            <w:pPr>
              <w:pStyle w:val="44"/>
              <w:rPr>
                <w:b/>
                <w:bCs w:val="0"/>
                <w:color w:val="auto"/>
              </w:rPr>
            </w:pPr>
            <w:r>
              <w:rPr>
                <w:rFonts w:eastAsia="宋体"/>
                <w:bCs w:val="0"/>
                <w:color w:val="auto"/>
                <w:szCs w:val="21"/>
              </w:rPr>
              <w:t>CY-2020-013</w:t>
            </w:r>
          </w:p>
        </w:tc>
        <w:tc>
          <w:tcPr>
            <w:tcW w:w="1276" w:type="dxa"/>
            <w:vAlign w:val="center"/>
          </w:tcPr>
          <w:p>
            <w:pPr>
              <w:pStyle w:val="44"/>
              <w:rPr>
                <w:b/>
                <w:bCs w:val="0"/>
                <w:color w:val="auto"/>
              </w:rPr>
            </w:pPr>
            <w:r>
              <w:rPr>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continue"/>
            <w:vAlign w:val="center"/>
          </w:tcPr>
          <w:p>
            <w:pPr>
              <w:pStyle w:val="44"/>
              <w:rPr>
                <w:rFonts w:eastAsia="宋体"/>
                <w:b/>
                <w:bCs w:val="0"/>
                <w:color w:val="auto"/>
                <w:szCs w:val="21"/>
              </w:rPr>
            </w:pPr>
          </w:p>
        </w:tc>
        <w:tc>
          <w:tcPr>
            <w:tcW w:w="1560" w:type="dxa"/>
            <w:vAlign w:val="center"/>
          </w:tcPr>
          <w:p>
            <w:pPr>
              <w:pStyle w:val="44"/>
              <w:rPr>
                <w:rFonts w:eastAsia="宋体"/>
                <w:b/>
                <w:bCs w:val="0"/>
                <w:color w:val="auto"/>
                <w:szCs w:val="21"/>
              </w:rPr>
            </w:pPr>
            <w:r>
              <w:rPr>
                <w:rFonts w:hint="eastAsia" w:eastAsia="宋体"/>
                <w:bCs w:val="0"/>
                <w:color w:val="auto"/>
                <w:szCs w:val="21"/>
              </w:rPr>
              <w:t>氮氧化物</w:t>
            </w:r>
          </w:p>
        </w:tc>
        <w:tc>
          <w:tcPr>
            <w:tcW w:w="3260" w:type="dxa"/>
            <w:vAlign w:val="center"/>
          </w:tcPr>
          <w:p>
            <w:pPr>
              <w:pStyle w:val="44"/>
              <w:rPr>
                <w:rFonts w:eastAsia="宋体"/>
                <w:b/>
                <w:bCs w:val="0"/>
                <w:color w:val="auto"/>
                <w:szCs w:val="21"/>
              </w:rPr>
            </w:pPr>
            <w:r>
              <w:rPr>
                <w:rFonts w:eastAsia="宋体"/>
                <w:bCs w:val="0"/>
                <w:color w:val="auto"/>
                <w:szCs w:val="21"/>
              </w:rPr>
              <w:t>YQ3000-D大流量烟尘（气）测试仪</w:t>
            </w:r>
          </w:p>
        </w:tc>
        <w:tc>
          <w:tcPr>
            <w:tcW w:w="1559" w:type="dxa"/>
            <w:vAlign w:val="center"/>
          </w:tcPr>
          <w:p>
            <w:pPr>
              <w:pStyle w:val="44"/>
              <w:rPr>
                <w:rFonts w:eastAsia="宋体"/>
                <w:b/>
                <w:bCs w:val="0"/>
                <w:color w:val="auto"/>
                <w:szCs w:val="21"/>
              </w:rPr>
            </w:pPr>
            <w:r>
              <w:rPr>
                <w:rFonts w:eastAsia="宋体"/>
                <w:bCs w:val="0"/>
                <w:color w:val="auto"/>
                <w:szCs w:val="21"/>
              </w:rPr>
              <w:t>CY-2020-013</w:t>
            </w:r>
          </w:p>
        </w:tc>
        <w:tc>
          <w:tcPr>
            <w:tcW w:w="1276" w:type="dxa"/>
            <w:vAlign w:val="center"/>
          </w:tcPr>
          <w:p>
            <w:pPr>
              <w:pStyle w:val="44"/>
              <w:rPr>
                <w:b/>
                <w:bCs w:val="0"/>
                <w:color w:val="auto"/>
              </w:rPr>
            </w:pPr>
            <w:r>
              <w:rPr>
                <w:rFonts w:hint="eastAsia"/>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continue"/>
            <w:vAlign w:val="center"/>
          </w:tcPr>
          <w:p>
            <w:pPr>
              <w:pStyle w:val="44"/>
              <w:rPr>
                <w:rFonts w:eastAsia="宋体"/>
                <w:b/>
                <w:bCs w:val="0"/>
                <w:color w:val="auto"/>
                <w:szCs w:val="21"/>
              </w:rPr>
            </w:pPr>
          </w:p>
        </w:tc>
        <w:tc>
          <w:tcPr>
            <w:tcW w:w="1560" w:type="dxa"/>
            <w:vAlign w:val="center"/>
          </w:tcPr>
          <w:p>
            <w:pPr>
              <w:pStyle w:val="44"/>
              <w:rPr>
                <w:rFonts w:eastAsia="宋体"/>
                <w:b/>
                <w:bCs w:val="0"/>
                <w:color w:val="auto"/>
                <w:szCs w:val="21"/>
              </w:rPr>
            </w:pPr>
            <w:r>
              <w:rPr>
                <w:rFonts w:hint="eastAsia" w:eastAsia="宋体"/>
                <w:bCs w:val="0"/>
                <w:color w:val="auto"/>
                <w:szCs w:val="21"/>
              </w:rPr>
              <w:t>颗粒物</w:t>
            </w:r>
          </w:p>
        </w:tc>
        <w:tc>
          <w:tcPr>
            <w:tcW w:w="3260" w:type="dxa"/>
            <w:vAlign w:val="center"/>
          </w:tcPr>
          <w:p>
            <w:pPr>
              <w:pStyle w:val="44"/>
              <w:rPr>
                <w:rFonts w:eastAsia="宋体"/>
                <w:b/>
                <w:bCs w:val="0"/>
                <w:color w:val="auto"/>
                <w:szCs w:val="21"/>
              </w:rPr>
            </w:pPr>
            <w:r>
              <w:rPr>
                <w:rFonts w:eastAsia="宋体"/>
                <w:bCs w:val="0"/>
                <w:color w:val="auto"/>
                <w:szCs w:val="21"/>
              </w:rPr>
              <w:t>NVN-800S恒温恒湿称重系统</w:t>
            </w:r>
            <w:r>
              <w:rPr>
                <w:rFonts w:hint="eastAsia" w:eastAsia="宋体"/>
                <w:bCs w:val="0"/>
                <w:color w:val="auto"/>
                <w:szCs w:val="21"/>
              </w:rPr>
              <w:t>、PWN125DZH电子天平</w:t>
            </w:r>
          </w:p>
        </w:tc>
        <w:tc>
          <w:tcPr>
            <w:tcW w:w="1559" w:type="dxa"/>
            <w:vAlign w:val="center"/>
          </w:tcPr>
          <w:p>
            <w:pPr>
              <w:pStyle w:val="44"/>
              <w:rPr>
                <w:rFonts w:eastAsia="宋体"/>
                <w:b/>
                <w:bCs w:val="0"/>
                <w:color w:val="auto"/>
                <w:szCs w:val="21"/>
              </w:rPr>
            </w:pPr>
            <w:r>
              <w:rPr>
                <w:rFonts w:eastAsia="宋体"/>
                <w:bCs w:val="0"/>
                <w:color w:val="auto"/>
                <w:szCs w:val="21"/>
              </w:rPr>
              <w:t>SY-2020-042</w:t>
            </w:r>
            <w:r>
              <w:rPr>
                <w:rFonts w:hint="eastAsia" w:eastAsia="宋体"/>
                <w:bCs w:val="0"/>
                <w:color w:val="auto"/>
                <w:szCs w:val="21"/>
              </w:rPr>
              <w:t>、SY-2020-010</w:t>
            </w:r>
          </w:p>
        </w:tc>
        <w:tc>
          <w:tcPr>
            <w:tcW w:w="1276" w:type="dxa"/>
            <w:vAlign w:val="center"/>
          </w:tcPr>
          <w:p>
            <w:pPr>
              <w:pStyle w:val="44"/>
              <w:rPr>
                <w:b/>
                <w:bCs w:val="0"/>
                <w:color w:val="auto"/>
              </w:rPr>
            </w:pPr>
            <w:r>
              <w:rPr>
                <w:rFonts w:hint="eastAsia"/>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continue"/>
            <w:vAlign w:val="center"/>
          </w:tcPr>
          <w:p>
            <w:pPr>
              <w:pStyle w:val="44"/>
              <w:rPr>
                <w:b/>
                <w:bCs w:val="0"/>
                <w:color w:val="auto"/>
              </w:rPr>
            </w:pPr>
          </w:p>
        </w:tc>
        <w:tc>
          <w:tcPr>
            <w:tcW w:w="1560" w:type="dxa"/>
            <w:vAlign w:val="center"/>
          </w:tcPr>
          <w:p>
            <w:pPr>
              <w:pStyle w:val="44"/>
              <w:rPr>
                <w:b/>
                <w:bCs w:val="0"/>
                <w:color w:val="auto"/>
              </w:rPr>
            </w:pPr>
            <w:r>
              <w:rPr>
                <w:rFonts w:hint="eastAsia" w:eastAsia="宋体"/>
                <w:bCs w:val="0"/>
                <w:color w:val="auto"/>
                <w:szCs w:val="21"/>
              </w:rPr>
              <w:t>非甲烷总烃</w:t>
            </w:r>
          </w:p>
        </w:tc>
        <w:tc>
          <w:tcPr>
            <w:tcW w:w="3260" w:type="dxa"/>
            <w:vAlign w:val="center"/>
          </w:tcPr>
          <w:p>
            <w:pPr>
              <w:pStyle w:val="44"/>
              <w:rPr>
                <w:b/>
                <w:bCs w:val="0"/>
                <w:color w:val="auto"/>
              </w:rPr>
            </w:pPr>
            <w:r>
              <w:rPr>
                <w:color w:val="auto"/>
                <w:szCs w:val="21"/>
              </w:rPr>
              <w:t>GC-4000A气相色谱仪</w:t>
            </w:r>
          </w:p>
        </w:tc>
        <w:tc>
          <w:tcPr>
            <w:tcW w:w="1559" w:type="dxa"/>
            <w:vAlign w:val="center"/>
          </w:tcPr>
          <w:p>
            <w:pPr>
              <w:pStyle w:val="44"/>
              <w:rPr>
                <w:b/>
                <w:bCs w:val="0"/>
                <w:color w:val="auto"/>
              </w:rPr>
            </w:pPr>
            <w:r>
              <w:rPr>
                <w:color w:val="auto"/>
                <w:szCs w:val="21"/>
              </w:rPr>
              <w:t>SY-2020-006</w:t>
            </w:r>
          </w:p>
        </w:tc>
        <w:tc>
          <w:tcPr>
            <w:tcW w:w="1276" w:type="dxa"/>
            <w:vAlign w:val="center"/>
          </w:tcPr>
          <w:p>
            <w:pPr>
              <w:pStyle w:val="44"/>
              <w:rPr>
                <w:b/>
                <w:bCs w:val="0"/>
                <w:color w:val="auto"/>
              </w:rPr>
            </w:pPr>
            <w:r>
              <w:rPr>
                <w:rFonts w:hint="eastAsia"/>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continue"/>
            <w:vAlign w:val="center"/>
          </w:tcPr>
          <w:p>
            <w:pPr>
              <w:pStyle w:val="44"/>
              <w:rPr>
                <w:b/>
                <w:bCs w:val="0"/>
                <w:color w:val="auto"/>
              </w:rPr>
            </w:pPr>
          </w:p>
        </w:tc>
        <w:tc>
          <w:tcPr>
            <w:tcW w:w="1560" w:type="dxa"/>
            <w:vAlign w:val="center"/>
          </w:tcPr>
          <w:p>
            <w:pPr>
              <w:pStyle w:val="44"/>
              <w:rPr>
                <w:b/>
                <w:bCs w:val="0"/>
                <w:color w:val="auto"/>
              </w:rPr>
            </w:pPr>
            <w:r>
              <w:rPr>
                <w:rFonts w:hint="eastAsia" w:eastAsia="宋体"/>
                <w:bCs w:val="0"/>
                <w:color w:val="auto"/>
                <w:szCs w:val="21"/>
              </w:rPr>
              <w:t>臭气浓度</w:t>
            </w:r>
          </w:p>
        </w:tc>
        <w:tc>
          <w:tcPr>
            <w:tcW w:w="3260" w:type="dxa"/>
            <w:vAlign w:val="center"/>
          </w:tcPr>
          <w:p>
            <w:pPr>
              <w:pStyle w:val="44"/>
              <w:rPr>
                <w:b/>
                <w:bCs w:val="0"/>
                <w:color w:val="auto"/>
              </w:rPr>
            </w:pPr>
            <w:r>
              <w:rPr>
                <w:rFonts w:hint="eastAsia"/>
                <w:bCs w:val="0"/>
                <w:color w:val="auto"/>
              </w:rPr>
              <w:t>/</w:t>
            </w:r>
          </w:p>
        </w:tc>
        <w:tc>
          <w:tcPr>
            <w:tcW w:w="1559" w:type="dxa"/>
            <w:vAlign w:val="center"/>
          </w:tcPr>
          <w:p>
            <w:pPr>
              <w:pStyle w:val="44"/>
              <w:rPr>
                <w:b/>
                <w:bCs w:val="0"/>
                <w:color w:val="auto"/>
              </w:rPr>
            </w:pPr>
            <w:r>
              <w:rPr>
                <w:rFonts w:hint="eastAsia"/>
                <w:bCs w:val="0"/>
                <w:color w:val="auto"/>
              </w:rPr>
              <w:t>/</w:t>
            </w:r>
          </w:p>
        </w:tc>
        <w:tc>
          <w:tcPr>
            <w:tcW w:w="1276" w:type="dxa"/>
            <w:vAlign w:val="center"/>
          </w:tcPr>
          <w:p>
            <w:pPr>
              <w:pStyle w:val="44"/>
              <w:rPr>
                <w:b/>
                <w:bCs w:val="0"/>
                <w:color w:val="auto"/>
              </w:rPr>
            </w:pPr>
            <w:r>
              <w:rPr>
                <w:rFonts w:hint="eastAsia"/>
                <w:bCs w:val="0"/>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restart"/>
            <w:vAlign w:val="center"/>
          </w:tcPr>
          <w:p>
            <w:pPr>
              <w:pStyle w:val="44"/>
              <w:rPr>
                <w:rFonts w:eastAsia="宋体"/>
                <w:b/>
                <w:bCs w:val="0"/>
                <w:color w:val="auto"/>
                <w:szCs w:val="21"/>
              </w:rPr>
            </w:pPr>
            <w:r>
              <w:rPr>
                <w:rFonts w:hint="eastAsia" w:eastAsia="宋体"/>
                <w:bCs w:val="0"/>
                <w:color w:val="auto"/>
                <w:szCs w:val="21"/>
              </w:rPr>
              <w:t>无组织废气</w:t>
            </w:r>
          </w:p>
        </w:tc>
        <w:tc>
          <w:tcPr>
            <w:tcW w:w="1560" w:type="dxa"/>
            <w:vAlign w:val="center"/>
          </w:tcPr>
          <w:p>
            <w:pPr>
              <w:pStyle w:val="44"/>
              <w:rPr>
                <w:rFonts w:eastAsia="宋体"/>
                <w:b/>
                <w:bCs w:val="0"/>
                <w:color w:val="auto"/>
                <w:szCs w:val="21"/>
              </w:rPr>
            </w:pPr>
            <w:r>
              <w:rPr>
                <w:rFonts w:hint="eastAsia" w:eastAsia="宋体"/>
                <w:bCs w:val="0"/>
                <w:color w:val="auto"/>
                <w:szCs w:val="21"/>
              </w:rPr>
              <w:t>总悬浮颗粒物</w:t>
            </w:r>
          </w:p>
        </w:tc>
        <w:tc>
          <w:tcPr>
            <w:tcW w:w="3260" w:type="dxa"/>
            <w:vAlign w:val="center"/>
          </w:tcPr>
          <w:p>
            <w:pPr>
              <w:pStyle w:val="44"/>
              <w:rPr>
                <w:rFonts w:eastAsia="宋体"/>
                <w:b/>
                <w:bCs w:val="0"/>
                <w:color w:val="auto"/>
                <w:szCs w:val="21"/>
              </w:rPr>
            </w:pPr>
            <w:r>
              <w:rPr>
                <w:rFonts w:eastAsia="宋体"/>
                <w:bCs w:val="0"/>
                <w:color w:val="auto"/>
                <w:szCs w:val="21"/>
              </w:rPr>
              <w:t>NVN-800S恒温恒湿称重系统</w:t>
            </w:r>
            <w:r>
              <w:rPr>
                <w:rFonts w:hint="eastAsia" w:eastAsia="宋体"/>
                <w:bCs w:val="0"/>
                <w:color w:val="auto"/>
                <w:szCs w:val="21"/>
              </w:rPr>
              <w:t>、PWN125DZH电子天平</w:t>
            </w:r>
          </w:p>
        </w:tc>
        <w:tc>
          <w:tcPr>
            <w:tcW w:w="1559" w:type="dxa"/>
            <w:vAlign w:val="center"/>
          </w:tcPr>
          <w:p>
            <w:pPr>
              <w:pStyle w:val="44"/>
              <w:rPr>
                <w:rFonts w:eastAsia="宋体"/>
                <w:b/>
                <w:bCs w:val="0"/>
                <w:color w:val="auto"/>
                <w:szCs w:val="21"/>
              </w:rPr>
            </w:pPr>
            <w:r>
              <w:rPr>
                <w:rFonts w:eastAsia="宋体"/>
                <w:bCs w:val="0"/>
                <w:color w:val="auto"/>
                <w:szCs w:val="21"/>
              </w:rPr>
              <w:t>SY-2020-042</w:t>
            </w:r>
            <w:r>
              <w:rPr>
                <w:rFonts w:hint="eastAsia" w:eastAsia="宋体"/>
                <w:bCs w:val="0"/>
                <w:color w:val="auto"/>
                <w:szCs w:val="21"/>
              </w:rPr>
              <w:t>、SY-2020-010</w:t>
            </w:r>
          </w:p>
        </w:tc>
        <w:tc>
          <w:tcPr>
            <w:tcW w:w="1276" w:type="dxa"/>
            <w:vAlign w:val="center"/>
          </w:tcPr>
          <w:p>
            <w:pPr>
              <w:pStyle w:val="44"/>
              <w:rPr>
                <w:b/>
                <w:bCs w:val="0"/>
                <w:color w:val="auto"/>
              </w:rPr>
            </w:pPr>
            <w:r>
              <w:rPr>
                <w:rFonts w:hint="eastAsia"/>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continue"/>
            <w:vAlign w:val="center"/>
          </w:tcPr>
          <w:p>
            <w:pPr>
              <w:pStyle w:val="44"/>
              <w:rPr>
                <w:rFonts w:eastAsia="宋体"/>
                <w:b/>
                <w:bCs w:val="0"/>
                <w:color w:val="auto"/>
                <w:szCs w:val="21"/>
              </w:rPr>
            </w:pPr>
          </w:p>
        </w:tc>
        <w:tc>
          <w:tcPr>
            <w:tcW w:w="1560" w:type="dxa"/>
            <w:vAlign w:val="center"/>
          </w:tcPr>
          <w:p>
            <w:pPr>
              <w:pStyle w:val="44"/>
              <w:rPr>
                <w:rFonts w:eastAsia="宋体"/>
                <w:b/>
                <w:bCs w:val="0"/>
                <w:color w:val="auto"/>
                <w:szCs w:val="21"/>
              </w:rPr>
            </w:pPr>
            <w:r>
              <w:rPr>
                <w:rFonts w:hint="eastAsia" w:eastAsia="宋体"/>
                <w:bCs w:val="0"/>
                <w:color w:val="auto"/>
                <w:szCs w:val="21"/>
              </w:rPr>
              <w:t>非甲烷总烃</w:t>
            </w:r>
          </w:p>
        </w:tc>
        <w:tc>
          <w:tcPr>
            <w:tcW w:w="3260" w:type="dxa"/>
            <w:vAlign w:val="center"/>
          </w:tcPr>
          <w:p>
            <w:pPr>
              <w:pStyle w:val="44"/>
              <w:rPr>
                <w:rFonts w:eastAsia="宋体"/>
                <w:b/>
                <w:bCs w:val="0"/>
                <w:color w:val="auto"/>
                <w:szCs w:val="21"/>
              </w:rPr>
            </w:pPr>
            <w:r>
              <w:rPr>
                <w:rFonts w:hint="eastAsia" w:eastAsia="宋体"/>
                <w:bCs w:val="0"/>
                <w:color w:val="auto"/>
                <w:szCs w:val="21"/>
              </w:rPr>
              <w:t>GC</w:t>
            </w:r>
            <w:r>
              <w:rPr>
                <w:rFonts w:eastAsia="宋体"/>
                <w:bCs w:val="0"/>
                <w:color w:val="auto"/>
                <w:szCs w:val="21"/>
              </w:rPr>
              <w:t>-4000</w:t>
            </w:r>
            <w:r>
              <w:rPr>
                <w:rFonts w:hint="eastAsia" w:eastAsia="宋体"/>
                <w:bCs w:val="0"/>
                <w:color w:val="auto"/>
                <w:szCs w:val="21"/>
              </w:rPr>
              <w:t>A气相色谱仪</w:t>
            </w:r>
          </w:p>
        </w:tc>
        <w:tc>
          <w:tcPr>
            <w:tcW w:w="1559" w:type="dxa"/>
            <w:vAlign w:val="center"/>
          </w:tcPr>
          <w:p>
            <w:pPr>
              <w:pStyle w:val="44"/>
              <w:rPr>
                <w:rFonts w:eastAsia="宋体"/>
                <w:b/>
                <w:bCs w:val="0"/>
                <w:color w:val="auto"/>
                <w:szCs w:val="21"/>
              </w:rPr>
            </w:pPr>
            <w:r>
              <w:rPr>
                <w:rFonts w:hint="eastAsia" w:eastAsia="宋体"/>
                <w:bCs w:val="0"/>
                <w:color w:val="auto"/>
                <w:szCs w:val="21"/>
              </w:rPr>
              <w:t>SY</w:t>
            </w:r>
            <w:r>
              <w:rPr>
                <w:rFonts w:eastAsia="宋体"/>
                <w:bCs w:val="0"/>
                <w:color w:val="auto"/>
                <w:szCs w:val="21"/>
              </w:rPr>
              <w:t>-2020-006</w:t>
            </w:r>
          </w:p>
        </w:tc>
        <w:tc>
          <w:tcPr>
            <w:tcW w:w="1276" w:type="dxa"/>
            <w:vAlign w:val="center"/>
          </w:tcPr>
          <w:p>
            <w:pPr>
              <w:pStyle w:val="44"/>
              <w:rPr>
                <w:b/>
                <w:bCs w:val="0"/>
                <w:color w:val="auto"/>
              </w:rPr>
            </w:pPr>
            <w:r>
              <w:rPr>
                <w:rFonts w:hint="eastAsia"/>
                <w:bCs w:val="0"/>
                <w:color w:val="auto"/>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Merge w:val="continue"/>
            <w:vAlign w:val="center"/>
          </w:tcPr>
          <w:p>
            <w:pPr>
              <w:pStyle w:val="44"/>
              <w:rPr>
                <w:color w:val="auto"/>
              </w:rPr>
            </w:pPr>
          </w:p>
        </w:tc>
        <w:tc>
          <w:tcPr>
            <w:tcW w:w="425" w:type="dxa"/>
            <w:vMerge w:val="continue"/>
            <w:vAlign w:val="center"/>
          </w:tcPr>
          <w:p>
            <w:pPr>
              <w:pStyle w:val="44"/>
              <w:rPr>
                <w:rFonts w:eastAsia="宋体"/>
                <w:color w:val="auto"/>
                <w:szCs w:val="21"/>
              </w:rPr>
            </w:pPr>
          </w:p>
        </w:tc>
        <w:tc>
          <w:tcPr>
            <w:tcW w:w="1560" w:type="dxa"/>
            <w:vAlign w:val="center"/>
          </w:tcPr>
          <w:p>
            <w:pPr>
              <w:pStyle w:val="44"/>
              <w:rPr>
                <w:rFonts w:eastAsia="宋体"/>
                <w:b/>
                <w:bCs w:val="0"/>
                <w:color w:val="auto"/>
                <w:szCs w:val="21"/>
              </w:rPr>
            </w:pPr>
            <w:r>
              <w:rPr>
                <w:rFonts w:hint="eastAsia" w:eastAsia="宋体"/>
                <w:bCs w:val="0"/>
                <w:color w:val="auto"/>
                <w:szCs w:val="21"/>
              </w:rPr>
              <w:t>臭气浓度</w:t>
            </w:r>
          </w:p>
        </w:tc>
        <w:tc>
          <w:tcPr>
            <w:tcW w:w="3260" w:type="dxa"/>
            <w:vAlign w:val="center"/>
          </w:tcPr>
          <w:p>
            <w:pPr>
              <w:pStyle w:val="44"/>
              <w:rPr>
                <w:rFonts w:eastAsia="宋体"/>
                <w:b/>
                <w:bCs w:val="0"/>
                <w:color w:val="auto"/>
                <w:szCs w:val="21"/>
              </w:rPr>
            </w:pPr>
            <w:r>
              <w:rPr>
                <w:rFonts w:hint="eastAsia" w:eastAsia="宋体"/>
                <w:bCs w:val="0"/>
                <w:color w:val="auto"/>
                <w:szCs w:val="21"/>
              </w:rPr>
              <w:t>/</w:t>
            </w:r>
          </w:p>
        </w:tc>
        <w:tc>
          <w:tcPr>
            <w:tcW w:w="1559" w:type="dxa"/>
            <w:vAlign w:val="center"/>
          </w:tcPr>
          <w:p>
            <w:pPr>
              <w:pStyle w:val="44"/>
              <w:rPr>
                <w:rFonts w:eastAsia="宋体"/>
                <w:b/>
                <w:bCs w:val="0"/>
                <w:color w:val="auto"/>
                <w:szCs w:val="21"/>
              </w:rPr>
            </w:pPr>
            <w:r>
              <w:rPr>
                <w:rFonts w:hint="eastAsia" w:eastAsia="宋体"/>
                <w:bCs w:val="0"/>
                <w:color w:val="auto"/>
                <w:szCs w:val="21"/>
              </w:rPr>
              <w:t>/</w:t>
            </w:r>
          </w:p>
        </w:tc>
        <w:tc>
          <w:tcPr>
            <w:tcW w:w="1276" w:type="dxa"/>
            <w:vAlign w:val="center"/>
          </w:tcPr>
          <w:p>
            <w:pPr>
              <w:pStyle w:val="44"/>
              <w:rPr>
                <w:b/>
                <w:bCs w:val="0"/>
                <w:color w:val="auto"/>
              </w:rPr>
            </w:pPr>
            <w:r>
              <w:rPr>
                <w:rFonts w:hint="eastAsia"/>
                <w:bCs w:val="0"/>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4" w:type="dxa"/>
            <w:vAlign w:val="center"/>
          </w:tcPr>
          <w:p>
            <w:pPr>
              <w:pStyle w:val="44"/>
              <w:rPr>
                <w:b/>
                <w:bCs w:val="0"/>
                <w:color w:val="auto"/>
              </w:rPr>
            </w:pPr>
            <w:r>
              <w:rPr>
                <w:bCs w:val="0"/>
                <w:color w:val="auto"/>
              </w:rPr>
              <w:t>噪声</w:t>
            </w:r>
          </w:p>
        </w:tc>
        <w:tc>
          <w:tcPr>
            <w:tcW w:w="1985" w:type="dxa"/>
            <w:gridSpan w:val="2"/>
            <w:vAlign w:val="center"/>
          </w:tcPr>
          <w:p>
            <w:pPr>
              <w:pStyle w:val="44"/>
              <w:rPr>
                <w:b/>
                <w:bCs w:val="0"/>
                <w:color w:val="auto"/>
              </w:rPr>
            </w:pPr>
            <w:r>
              <w:rPr>
                <w:rFonts w:hint="eastAsia"/>
                <w:bCs w:val="0"/>
                <w:color w:val="auto"/>
              </w:rPr>
              <w:t>工业企业</w:t>
            </w:r>
            <w:r>
              <w:rPr>
                <w:bCs w:val="0"/>
                <w:color w:val="auto"/>
              </w:rPr>
              <w:t>厂界噪声</w:t>
            </w:r>
          </w:p>
        </w:tc>
        <w:tc>
          <w:tcPr>
            <w:tcW w:w="3260" w:type="dxa"/>
            <w:vAlign w:val="center"/>
          </w:tcPr>
          <w:p>
            <w:pPr>
              <w:pStyle w:val="44"/>
              <w:rPr>
                <w:b/>
                <w:bCs w:val="0"/>
                <w:color w:val="auto"/>
              </w:rPr>
            </w:pPr>
            <w:r>
              <w:rPr>
                <w:rFonts w:eastAsia="宋体"/>
                <w:bCs w:val="0"/>
                <w:color w:val="auto"/>
                <w:kern w:val="0"/>
                <w:szCs w:val="21"/>
              </w:rPr>
              <w:t>HS6298多功能噪声分析仪</w:t>
            </w:r>
          </w:p>
        </w:tc>
        <w:tc>
          <w:tcPr>
            <w:tcW w:w="1559" w:type="dxa"/>
            <w:vAlign w:val="center"/>
          </w:tcPr>
          <w:p>
            <w:pPr>
              <w:pStyle w:val="44"/>
              <w:rPr>
                <w:b/>
                <w:bCs w:val="0"/>
                <w:color w:val="auto"/>
              </w:rPr>
            </w:pPr>
            <w:r>
              <w:rPr>
                <w:rFonts w:eastAsia="宋体"/>
                <w:bCs w:val="0"/>
                <w:color w:val="auto"/>
                <w:kern w:val="0"/>
                <w:szCs w:val="21"/>
              </w:rPr>
              <w:t>CY-2020-007</w:t>
            </w:r>
          </w:p>
        </w:tc>
        <w:tc>
          <w:tcPr>
            <w:tcW w:w="1276" w:type="dxa"/>
            <w:vAlign w:val="center"/>
          </w:tcPr>
          <w:p>
            <w:pPr>
              <w:pStyle w:val="44"/>
              <w:rPr>
                <w:b/>
                <w:bCs w:val="0"/>
                <w:color w:val="auto"/>
              </w:rPr>
            </w:pPr>
            <w:r>
              <w:rPr>
                <w:bCs w:val="0"/>
                <w:color w:val="auto"/>
              </w:rPr>
              <w:t>已检定</w:t>
            </w:r>
          </w:p>
        </w:tc>
      </w:tr>
      <w:bookmarkEnd w:id="102"/>
    </w:tbl>
    <w:p>
      <w:pPr>
        <w:pStyle w:val="5"/>
      </w:pPr>
      <w:bookmarkStart w:id="103" w:name="_Toc81808524"/>
      <w:r>
        <w:t>8.</w:t>
      </w:r>
      <w:r>
        <w:rPr>
          <w:rFonts w:hint="eastAsia"/>
        </w:rPr>
        <w:t>3</w:t>
      </w:r>
      <w:r>
        <w:t>水质监测分析过程中的质量保证和质量控制</w:t>
      </w:r>
      <w:bookmarkEnd w:id="103"/>
    </w:p>
    <w:p>
      <w:pPr>
        <w:ind w:firstLine="480"/>
      </w:pPr>
      <w:r>
        <w:t>水样的采集、运输、保存、实验室分析和数据计算的全过程均按《水和废水监测分析方法》（第四版增补版）的要求进行。</w:t>
      </w:r>
    </w:p>
    <w:p>
      <w:pPr>
        <w:pStyle w:val="5"/>
      </w:pPr>
      <w:bookmarkStart w:id="104" w:name="_Toc81808525"/>
      <w:r>
        <w:t>8.</w:t>
      </w:r>
      <w:r>
        <w:rPr>
          <w:rFonts w:hint="eastAsia"/>
        </w:rPr>
        <w:t>4</w:t>
      </w:r>
      <w:r>
        <w:t>废气监测分析过程中的质量保证和质量控制</w:t>
      </w:r>
      <w:bookmarkEnd w:id="104"/>
    </w:p>
    <w:p>
      <w:pPr>
        <w:ind w:firstLine="480"/>
      </w:pPr>
      <w:r>
        <w:t>实行全过程的质量保证，</w:t>
      </w:r>
      <w:r>
        <w:rPr>
          <w:rFonts w:hint="eastAsia"/>
        </w:rPr>
        <w:t>按《环境监测技术规范》和《固定污染源监测质量保证与质量控制技术规范（试行）》（HJ/T373-2007）中的要求进行全过程质量控制。</w:t>
      </w:r>
    </w:p>
    <w:p>
      <w:pPr>
        <w:pStyle w:val="5"/>
      </w:pPr>
      <w:bookmarkStart w:id="105" w:name="_Toc81808526"/>
      <w:r>
        <w:t>8.</w:t>
      </w:r>
      <w:r>
        <w:rPr>
          <w:rFonts w:hint="eastAsia"/>
        </w:rPr>
        <w:t>5</w:t>
      </w:r>
      <w:r>
        <w:t>噪声监测分析过程中的质量保证和质量控制</w:t>
      </w:r>
      <w:bookmarkEnd w:id="105"/>
    </w:p>
    <w:p>
      <w:pPr>
        <w:ind w:firstLine="480"/>
      </w:pPr>
      <w:r>
        <w:t>声级计在测试前后用标准发生源进行校准，测量前后仪器灵敏度相差</w:t>
      </w:r>
      <w:r>
        <w:rPr>
          <w:rFonts w:hint="eastAsia"/>
        </w:rPr>
        <w:t>≤</w:t>
      </w:r>
      <w:r>
        <w:t>0.5dB。</w:t>
      </w:r>
    </w:p>
    <w:p>
      <w:pPr>
        <w:pStyle w:val="4"/>
        <w:sectPr>
          <w:pgSz w:w="11906" w:h="16838"/>
          <w:pgMar w:top="1418" w:right="1701" w:bottom="1418" w:left="1701" w:header="851" w:footer="992" w:gutter="0"/>
          <w:pgNumType w:fmt="numberInDash"/>
          <w:cols w:space="425" w:num="1"/>
          <w:docGrid w:type="lines" w:linePitch="312" w:charSpace="0"/>
        </w:sectPr>
      </w:pPr>
      <w:bookmarkStart w:id="106" w:name="_Toc515273928"/>
    </w:p>
    <w:p>
      <w:pPr>
        <w:pStyle w:val="4"/>
      </w:pPr>
      <w:bookmarkStart w:id="107" w:name="_Toc81808527"/>
      <w:r>
        <w:rPr>
          <w:rFonts w:hint="eastAsia"/>
        </w:rPr>
        <w:t>9</w:t>
      </w:r>
      <w:r>
        <w:t>验收监测结果</w:t>
      </w:r>
      <w:bookmarkEnd w:id="106"/>
      <w:bookmarkEnd w:id="107"/>
    </w:p>
    <w:p>
      <w:pPr>
        <w:pStyle w:val="5"/>
      </w:pPr>
      <w:bookmarkStart w:id="108" w:name="_Toc81808528"/>
      <w:bookmarkStart w:id="109" w:name="_Toc515273929"/>
      <w:r>
        <w:t>9.1生产工况</w:t>
      </w:r>
      <w:bookmarkEnd w:id="108"/>
      <w:bookmarkEnd w:id="109"/>
    </w:p>
    <w:p>
      <w:pPr>
        <w:ind w:firstLine="480"/>
        <w:rPr>
          <w:rFonts w:cs="Times New Roman"/>
        </w:rPr>
      </w:pPr>
      <w:r>
        <w:rPr>
          <w:rFonts w:cs="Times New Roman"/>
        </w:rPr>
        <w:t>验收监测期间</w:t>
      </w:r>
      <w:r>
        <w:rPr>
          <w:rFonts w:hint="eastAsia" w:cs="Times New Roman"/>
        </w:rPr>
        <w:t>我公司生产正常</w:t>
      </w:r>
      <w:r>
        <w:rPr>
          <w:rFonts w:cs="Times New Roman"/>
        </w:rPr>
        <w:t>，</w:t>
      </w:r>
      <w:r>
        <w:rPr>
          <w:rFonts w:hint="eastAsia"/>
        </w:rPr>
        <w:t>本项目已实施部分</w:t>
      </w:r>
      <w:r>
        <w:t>各设备运转正常，</w:t>
      </w:r>
      <w:r>
        <w:rPr>
          <w:rFonts w:hint="eastAsia"/>
        </w:rPr>
        <w:t>监测期间生产负荷工况见表9</w:t>
      </w:r>
      <w:r>
        <w:t>-1</w:t>
      </w:r>
      <w:r>
        <w:rPr>
          <w:rFonts w:hint="eastAsia"/>
        </w:rPr>
        <w:t>。</w:t>
      </w:r>
    </w:p>
    <w:p>
      <w:pPr>
        <w:pStyle w:val="39"/>
        <w:spacing w:before="62" w:after="31"/>
        <w:rPr>
          <w:color w:val="auto"/>
        </w:rPr>
      </w:pPr>
      <w:r>
        <w:rPr>
          <w:color w:val="auto"/>
        </w:rPr>
        <w:t>表9-1  验收监测期间生产负荷</w:t>
      </w:r>
    </w:p>
    <w:tbl>
      <w:tblPr>
        <w:tblStyle w:val="22"/>
        <w:tblW w:w="848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0"/>
        <w:gridCol w:w="567"/>
        <w:gridCol w:w="1134"/>
        <w:gridCol w:w="1134"/>
        <w:gridCol w:w="1134"/>
        <w:gridCol w:w="1985"/>
        <w:gridCol w:w="850"/>
        <w:gridCol w:w="98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67" w:type="dxa"/>
            <w:gridSpan w:val="2"/>
            <w:vAlign w:val="center"/>
          </w:tcPr>
          <w:p>
            <w:pPr>
              <w:pStyle w:val="44"/>
              <w:rPr>
                <w:b/>
                <w:bCs w:val="0"/>
                <w:color w:val="auto"/>
              </w:rPr>
            </w:pPr>
            <w:r>
              <w:rPr>
                <w:b/>
                <w:bCs w:val="0"/>
                <w:color w:val="auto"/>
              </w:rPr>
              <w:t>产品名称</w:t>
            </w:r>
          </w:p>
        </w:tc>
        <w:tc>
          <w:tcPr>
            <w:tcW w:w="1134" w:type="dxa"/>
            <w:tcBorders>
              <w:right w:val="single" w:color="auto" w:sz="4" w:space="0"/>
            </w:tcBorders>
            <w:vAlign w:val="center"/>
          </w:tcPr>
          <w:p>
            <w:pPr>
              <w:pStyle w:val="44"/>
              <w:rPr>
                <w:b/>
                <w:bCs w:val="0"/>
                <w:color w:val="auto"/>
              </w:rPr>
            </w:pPr>
            <w:r>
              <w:rPr>
                <w:b/>
                <w:bCs w:val="0"/>
                <w:color w:val="auto"/>
              </w:rPr>
              <w:t>环评</w:t>
            </w:r>
            <w:r>
              <w:rPr>
                <w:rFonts w:hint="eastAsia"/>
                <w:b/>
                <w:bCs w:val="0"/>
                <w:color w:val="auto"/>
              </w:rPr>
              <w:t>审批年产量</w:t>
            </w:r>
          </w:p>
        </w:tc>
        <w:tc>
          <w:tcPr>
            <w:tcW w:w="1134" w:type="dxa"/>
            <w:tcBorders>
              <w:right w:val="single" w:color="auto" w:sz="4" w:space="0"/>
            </w:tcBorders>
            <w:vAlign w:val="center"/>
          </w:tcPr>
          <w:p>
            <w:pPr>
              <w:pStyle w:val="44"/>
              <w:rPr>
                <w:b/>
                <w:bCs w:val="0"/>
                <w:color w:val="auto"/>
              </w:rPr>
            </w:pPr>
            <w:r>
              <w:rPr>
                <w:rFonts w:hint="eastAsia"/>
                <w:b/>
                <w:bCs w:val="0"/>
                <w:color w:val="auto"/>
              </w:rPr>
              <w:t>环评审批</w:t>
            </w:r>
            <w:r>
              <w:rPr>
                <w:b/>
                <w:bCs w:val="0"/>
                <w:color w:val="auto"/>
              </w:rPr>
              <w:t>日</w:t>
            </w:r>
            <w:r>
              <w:rPr>
                <w:rFonts w:hint="eastAsia"/>
                <w:b/>
                <w:bCs w:val="0"/>
                <w:color w:val="auto"/>
              </w:rPr>
              <w:t>产量</w:t>
            </w:r>
          </w:p>
        </w:tc>
        <w:tc>
          <w:tcPr>
            <w:tcW w:w="1134" w:type="dxa"/>
            <w:tcBorders>
              <w:left w:val="single" w:color="auto" w:sz="4" w:space="0"/>
            </w:tcBorders>
            <w:vAlign w:val="center"/>
          </w:tcPr>
          <w:p>
            <w:pPr>
              <w:pStyle w:val="44"/>
              <w:rPr>
                <w:b/>
                <w:bCs w:val="0"/>
                <w:color w:val="auto"/>
              </w:rPr>
            </w:pPr>
            <w:r>
              <w:rPr>
                <w:rFonts w:hint="eastAsia"/>
                <w:b/>
                <w:bCs w:val="0"/>
                <w:color w:val="auto"/>
              </w:rPr>
              <w:t>现阶段</w:t>
            </w:r>
          </w:p>
          <w:p>
            <w:pPr>
              <w:pStyle w:val="44"/>
              <w:rPr>
                <w:b/>
                <w:bCs w:val="0"/>
                <w:color w:val="auto"/>
              </w:rPr>
            </w:pPr>
            <w:r>
              <w:rPr>
                <w:rFonts w:hint="eastAsia"/>
                <w:b/>
                <w:bCs w:val="0"/>
                <w:color w:val="auto"/>
              </w:rPr>
              <w:t>产能</w:t>
            </w:r>
          </w:p>
        </w:tc>
        <w:tc>
          <w:tcPr>
            <w:tcW w:w="2835" w:type="dxa"/>
            <w:gridSpan w:val="2"/>
            <w:vAlign w:val="center"/>
          </w:tcPr>
          <w:p>
            <w:pPr>
              <w:pStyle w:val="44"/>
              <w:rPr>
                <w:b/>
                <w:bCs w:val="0"/>
                <w:color w:val="auto"/>
              </w:rPr>
            </w:pPr>
            <w:r>
              <w:rPr>
                <w:b/>
                <w:bCs w:val="0"/>
                <w:color w:val="auto"/>
              </w:rPr>
              <w:t>验收期间产量</w:t>
            </w:r>
            <w:r>
              <w:rPr>
                <w:rFonts w:hint="eastAsia"/>
                <w:b/>
                <w:bCs w:val="0"/>
                <w:color w:val="auto"/>
              </w:rPr>
              <w:t>（米/d）</w:t>
            </w:r>
          </w:p>
        </w:tc>
        <w:tc>
          <w:tcPr>
            <w:tcW w:w="981" w:type="dxa"/>
            <w:vAlign w:val="center"/>
          </w:tcPr>
          <w:p>
            <w:pPr>
              <w:pStyle w:val="44"/>
              <w:rPr>
                <w:b/>
                <w:bCs w:val="0"/>
                <w:color w:val="auto"/>
              </w:rPr>
            </w:pPr>
            <w:r>
              <w:rPr>
                <w:b/>
                <w:bCs w:val="0"/>
                <w:color w:val="auto"/>
              </w:rPr>
              <w:t>负荷率</w:t>
            </w:r>
            <w:r>
              <w:rPr>
                <w:rFonts w:hint="eastAsia"/>
                <w:b/>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restart"/>
            <w:vAlign w:val="center"/>
          </w:tcPr>
          <w:p>
            <w:pPr>
              <w:pStyle w:val="44"/>
              <w:rPr>
                <w:b/>
                <w:bCs w:val="0"/>
                <w:color w:val="auto"/>
              </w:rPr>
            </w:pPr>
            <w:r>
              <w:rPr>
                <w:bCs w:val="0"/>
                <w:color w:val="auto"/>
              </w:rPr>
              <w:t>功能性装饰面料</w:t>
            </w:r>
          </w:p>
        </w:tc>
        <w:tc>
          <w:tcPr>
            <w:tcW w:w="567" w:type="dxa"/>
            <w:vMerge w:val="restart"/>
            <w:vAlign w:val="center"/>
          </w:tcPr>
          <w:p>
            <w:pPr>
              <w:pStyle w:val="44"/>
              <w:rPr>
                <w:b/>
                <w:bCs w:val="0"/>
                <w:color w:val="auto"/>
              </w:rPr>
            </w:pPr>
            <w:r>
              <w:rPr>
                <w:bCs w:val="0"/>
                <w:color w:val="auto"/>
              </w:rPr>
              <w:t>复合</w:t>
            </w:r>
          </w:p>
        </w:tc>
        <w:tc>
          <w:tcPr>
            <w:tcW w:w="1134" w:type="dxa"/>
            <w:vMerge w:val="restart"/>
            <w:tcBorders>
              <w:right w:val="single" w:color="auto" w:sz="4" w:space="0"/>
            </w:tcBorders>
            <w:vAlign w:val="center"/>
          </w:tcPr>
          <w:p>
            <w:pPr>
              <w:pStyle w:val="44"/>
              <w:rPr>
                <w:b/>
                <w:bCs w:val="0"/>
                <w:color w:val="auto"/>
              </w:rPr>
            </w:pPr>
            <w:r>
              <w:rPr>
                <w:bCs w:val="0"/>
                <w:color w:val="auto"/>
              </w:rPr>
              <w:t>168</w:t>
            </w:r>
            <w:r>
              <w:rPr>
                <w:rFonts w:hint="eastAsia"/>
                <w:bCs w:val="0"/>
                <w:color w:val="auto"/>
              </w:rPr>
              <w:t>万米/a</w:t>
            </w:r>
          </w:p>
        </w:tc>
        <w:tc>
          <w:tcPr>
            <w:tcW w:w="1134" w:type="dxa"/>
            <w:vMerge w:val="restart"/>
            <w:tcBorders>
              <w:right w:val="single" w:color="auto" w:sz="4" w:space="0"/>
            </w:tcBorders>
            <w:vAlign w:val="center"/>
          </w:tcPr>
          <w:p>
            <w:pPr>
              <w:pStyle w:val="44"/>
              <w:rPr>
                <w:b/>
                <w:bCs w:val="0"/>
                <w:color w:val="auto"/>
              </w:rPr>
            </w:pPr>
            <w:r>
              <w:rPr>
                <w:bCs w:val="0"/>
                <w:color w:val="auto"/>
              </w:rPr>
              <w:t>5600</w:t>
            </w:r>
            <w:r>
              <w:rPr>
                <w:rFonts w:hint="eastAsia"/>
                <w:bCs w:val="0"/>
                <w:color w:val="auto"/>
              </w:rPr>
              <w:t>米/d</w:t>
            </w:r>
          </w:p>
        </w:tc>
        <w:tc>
          <w:tcPr>
            <w:tcW w:w="1134" w:type="dxa"/>
            <w:vMerge w:val="restart"/>
            <w:tcBorders>
              <w:left w:val="single" w:color="auto" w:sz="4" w:space="0"/>
            </w:tcBorders>
            <w:vAlign w:val="center"/>
          </w:tcPr>
          <w:p>
            <w:pPr>
              <w:pStyle w:val="44"/>
              <w:rPr>
                <w:b/>
                <w:bCs w:val="0"/>
                <w:color w:val="auto"/>
              </w:rPr>
            </w:pPr>
            <w:r>
              <w:rPr>
                <w:bCs w:val="0"/>
                <w:color w:val="auto"/>
              </w:rPr>
              <w:t>5600</w:t>
            </w:r>
            <w:r>
              <w:rPr>
                <w:rFonts w:hint="eastAsia"/>
                <w:bCs w:val="0"/>
                <w:color w:val="auto"/>
              </w:rPr>
              <w:t>米/d</w:t>
            </w:r>
          </w:p>
        </w:tc>
        <w:tc>
          <w:tcPr>
            <w:tcW w:w="1985" w:type="dxa"/>
            <w:tcBorders>
              <w:bottom w:val="single" w:color="auto" w:sz="4" w:space="0"/>
              <w:right w:val="single" w:color="auto" w:sz="4" w:space="0"/>
            </w:tcBorders>
            <w:vAlign w:val="center"/>
          </w:tcPr>
          <w:p>
            <w:pPr>
              <w:pStyle w:val="44"/>
              <w:rPr>
                <w:b/>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2</w:t>
            </w:r>
            <w:r>
              <w:rPr>
                <w:rFonts w:hint="eastAsia"/>
                <w:bCs w:val="0"/>
                <w:color w:val="auto"/>
              </w:rPr>
              <w:t>日</w:t>
            </w:r>
          </w:p>
        </w:tc>
        <w:tc>
          <w:tcPr>
            <w:tcW w:w="850" w:type="dxa"/>
            <w:tcBorders>
              <w:left w:val="single" w:color="auto" w:sz="4" w:space="0"/>
              <w:bottom w:val="single" w:color="auto" w:sz="4" w:space="0"/>
            </w:tcBorders>
            <w:vAlign w:val="center"/>
          </w:tcPr>
          <w:p>
            <w:pPr>
              <w:pStyle w:val="44"/>
              <w:rPr>
                <w:bCs w:val="0"/>
                <w:color w:val="auto"/>
              </w:rPr>
            </w:pPr>
            <w:r>
              <w:rPr>
                <w:rFonts w:hint="eastAsia"/>
                <w:bCs w:val="0"/>
                <w:color w:val="auto"/>
              </w:rPr>
              <w:t>5</w:t>
            </w:r>
            <w:r>
              <w:rPr>
                <w:bCs w:val="0"/>
                <w:color w:val="auto"/>
              </w:rPr>
              <w:t>000</w:t>
            </w:r>
          </w:p>
        </w:tc>
        <w:tc>
          <w:tcPr>
            <w:tcW w:w="981" w:type="dxa"/>
            <w:tcBorders>
              <w:bottom w:val="single" w:color="auto" w:sz="4" w:space="0"/>
            </w:tcBorders>
            <w:vAlign w:val="center"/>
          </w:tcPr>
          <w:p>
            <w:pPr>
              <w:pStyle w:val="44"/>
              <w:rPr>
                <w:b/>
                <w:bCs w:val="0"/>
                <w:color w:val="auto"/>
              </w:rPr>
            </w:pPr>
            <w:r>
              <w:rPr>
                <w:bCs w:val="0"/>
                <w:color w:val="auto"/>
              </w:rPr>
              <w:t>89.3</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3</w:t>
            </w:r>
            <w:r>
              <w:rPr>
                <w:rFonts w:hint="eastAsia"/>
                <w:bCs w:val="0"/>
                <w:color w:val="auto"/>
              </w:rPr>
              <w:t>日</w:t>
            </w:r>
          </w:p>
        </w:tc>
        <w:tc>
          <w:tcPr>
            <w:tcW w:w="850" w:type="dxa"/>
            <w:tcBorders>
              <w:left w:val="single" w:color="auto" w:sz="4" w:space="0"/>
            </w:tcBorders>
            <w:vAlign w:val="center"/>
          </w:tcPr>
          <w:p>
            <w:pPr>
              <w:pStyle w:val="44"/>
              <w:rPr>
                <w:bCs w:val="0"/>
                <w:color w:val="auto"/>
              </w:rPr>
            </w:pPr>
            <w:r>
              <w:rPr>
                <w:rFonts w:hint="eastAsia"/>
                <w:bCs w:val="0"/>
                <w:color w:val="auto"/>
              </w:rPr>
              <w:t>4</w:t>
            </w:r>
            <w:r>
              <w:rPr>
                <w:bCs w:val="0"/>
                <w:color w:val="auto"/>
              </w:rPr>
              <w:t>800</w:t>
            </w:r>
          </w:p>
        </w:tc>
        <w:tc>
          <w:tcPr>
            <w:tcW w:w="981" w:type="dxa"/>
            <w:vAlign w:val="center"/>
          </w:tcPr>
          <w:p>
            <w:pPr>
              <w:pStyle w:val="44"/>
              <w:rPr>
                <w:b/>
                <w:bCs w:val="0"/>
                <w:color w:val="auto"/>
              </w:rPr>
            </w:pPr>
            <w:r>
              <w:rPr>
                <w:bCs w:val="0"/>
                <w:color w:val="auto"/>
              </w:rPr>
              <w:t>85.7</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FF0000"/>
              </w:rPr>
            </w:pPr>
            <w:r>
              <w:rPr>
                <w:rFonts w:hint="eastAsia"/>
                <w:bCs w:val="0"/>
                <w:color w:val="FF0000"/>
              </w:rPr>
              <w:t>2</w:t>
            </w:r>
            <w:r>
              <w:rPr>
                <w:bCs w:val="0"/>
                <w:color w:val="FF0000"/>
              </w:rPr>
              <w:t>022年</w:t>
            </w:r>
            <w:r>
              <w:rPr>
                <w:rFonts w:hint="eastAsia"/>
                <w:bCs w:val="0"/>
                <w:color w:val="FF0000"/>
              </w:rPr>
              <w:t>1</w:t>
            </w:r>
            <w:r>
              <w:rPr>
                <w:bCs w:val="0"/>
                <w:color w:val="FF0000"/>
              </w:rPr>
              <w:t>1月</w:t>
            </w:r>
            <w:r>
              <w:rPr>
                <w:rFonts w:hint="eastAsia"/>
                <w:bCs w:val="0"/>
                <w:color w:val="FF0000"/>
              </w:rPr>
              <w:t>3</w:t>
            </w:r>
            <w:r>
              <w:rPr>
                <w:bCs w:val="0"/>
                <w:color w:val="FF0000"/>
              </w:rPr>
              <w:t>0日</w:t>
            </w:r>
          </w:p>
        </w:tc>
        <w:tc>
          <w:tcPr>
            <w:tcW w:w="850" w:type="dxa"/>
            <w:tcBorders>
              <w:left w:val="single" w:color="auto" w:sz="4" w:space="0"/>
            </w:tcBorders>
            <w:vAlign w:val="center"/>
          </w:tcPr>
          <w:p>
            <w:pPr>
              <w:pStyle w:val="44"/>
              <w:rPr>
                <w:bCs w:val="0"/>
                <w:color w:val="FF0000"/>
              </w:rPr>
            </w:pPr>
            <w:r>
              <w:rPr>
                <w:rFonts w:hint="eastAsia"/>
                <w:bCs w:val="0"/>
                <w:color w:val="FF0000"/>
              </w:rPr>
              <w:t>5</w:t>
            </w:r>
            <w:r>
              <w:rPr>
                <w:bCs w:val="0"/>
                <w:color w:val="FF0000"/>
              </w:rPr>
              <w:t>100</w:t>
            </w:r>
          </w:p>
        </w:tc>
        <w:tc>
          <w:tcPr>
            <w:tcW w:w="981" w:type="dxa"/>
            <w:vAlign w:val="center"/>
          </w:tcPr>
          <w:p>
            <w:pPr>
              <w:pStyle w:val="44"/>
              <w:rPr>
                <w:bCs w:val="0"/>
                <w:color w:val="FF0000"/>
              </w:rPr>
            </w:pPr>
            <w:r>
              <w:rPr>
                <w:rFonts w:hint="eastAsia"/>
                <w:bCs w:val="0"/>
                <w:color w:val="FF0000"/>
              </w:rPr>
              <w:t>9</w:t>
            </w:r>
            <w:r>
              <w:rPr>
                <w:bCs w:val="0"/>
                <w:color w:val="FF0000"/>
              </w:rPr>
              <w:t>1.1</w:t>
            </w:r>
            <w:r>
              <w:rPr>
                <w:rFonts w:hint="eastAsia"/>
                <w:bCs w:val="0"/>
                <w:color w:val="FF0000"/>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FF0000"/>
              </w:rPr>
            </w:pPr>
            <w:r>
              <w:rPr>
                <w:rFonts w:hint="eastAsia"/>
                <w:bCs w:val="0"/>
                <w:color w:val="FF0000"/>
              </w:rPr>
              <w:t>2</w:t>
            </w:r>
            <w:r>
              <w:rPr>
                <w:bCs w:val="0"/>
                <w:color w:val="FF0000"/>
              </w:rPr>
              <w:t>022年</w:t>
            </w:r>
            <w:r>
              <w:rPr>
                <w:rFonts w:hint="eastAsia"/>
                <w:bCs w:val="0"/>
                <w:color w:val="FF0000"/>
              </w:rPr>
              <w:t>1</w:t>
            </w:r>
            <w:r>
              <w:rPr>
                <w:bCs w:val="0"/>
                <w:color w:val="FF0000"/>
              </w:rPr>
              <w:t>2月</w:t>
            </w:r>
            <w:r>
              <w:rPr>
                <w:rFonts w:hint="eastAsia"/>
                <w:bCs w:val="0"/>
                <w:color w:val="FF0000"/>
              </w:rPr>
              <w:t>1日</w:t>
            </w:r>
          </w:p>
        </w:tc>
        <w:tc>
          <w:tcPr>
            <w:tcW w:w="850" w:type="dxa"/>
            <w:tcBorders>
              <w:left w:val="single" w:color="auto" w:sz="4" w:space="0"/>
            </w:tcBorders>
            <w:vAlign w:val="center"/>
          </w:tcPr>
          <w:p>
            <w:pPr>
              <w:pStyle w:val="44"/>
              <w:rPr>
                <w:bCs w:val="0"/>
                <w:color w:val="FF0000"/>
              </w:rPr>
            </w:pPr>
            <w:r>
              <w:rPr>
                <w:rFonts w:hint="eastAsia"/>
                <w:bCs w:val="0"/>
                <w:color w:val="FF0000"/>
              </w:rPr>
              <w:t>5</w:t>
            </w:r>
            <w:r>
              <w:rPr>
                <w:bCs w:val="0"/>
                <w:color w:val="FF0000"/>
              </w:rPr>
              <w:t>150</w:t>
            </w:r>
          </w:p>
        </w:tc>
        <w:tc>
          <w:tcPr>
            <w:tcW w:w="981" w:type="dxa"/>
            <w:vAlign w:val="center"/>
          </w:tcPr>
          <w:p>
            <w:pPr>
              <w:pStyle w:val="44"/>
              <w:rPr>
                <w:bCs w:val="0"/>
                <w:color w:val="FF0000"/>
              </w:rPr>
            </w:pPr>
            <w:r>
              <w:rPr>
                <w:rFonts w:hint="eastAsia"/>
                <w:bCs w:val="0"/>
                <w:color w:val="FF0000"/>
              </w:rPr>
              <w:t>9</w:t>
            </w:r>
            <w:r>
              <w:rPr>
                <w:bCs w:val="0"/>
                <w:color w:val="FF0000"/>
              </w:rPr>
              <w:t>2.0</w:t>
            </w:r>
            <w:r>
              <w:rPr>
                <w:rFonts w:hint="eastAsia"/>
                <w:bCs w:val="0"/>
                <w:color w:val="FF0000"/>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restart"/>
            <w:vAlign w:val="center"/>
          </w:tcPr>
          <w:p>
            <w:pPr>
              <w:pStyle w:val="44"/>
              <w:rPr>
                <w:b/>
                <w:bCs w:val="0"/>
                <w:color w:val="auto"/>
              </w:rPr>
            </w:pPr>
            <w:r>
              <w:rPr>
                <w:bCs w:val="0"/>
                <w:color w:val="auto"/>
              </w:rPr>
              <w:t>涂层</w:t>
            </w:r>
          </w:p>
        </w:tc>
        <w:tc>
          <w:tcPr>
            <w:tcW w:w="1134" w:type="dxa"/>
            <w:vMerge w:val="restart"/>
            <w:tcBorders>
              <w:right w:val="single" w:color="auto" w:sz="4" w:space="0"/>
            </w:tcBorders>
            <w:vAlign w:val="center"/>
          </w:tcPr>
          <w:p>
            <w:pPr>
              <w:pStyle w:val="44"/>
              <w:rPr>
                <w:bCs w:val="0"/>
                <w:color w:val="auto"/>
              </w:rPr>
            </w:pPr>
            <w:r>
              <w:rPr>
                <w:rFonts w:hint="eastAsia"/>
                <w:bCs w:val="0"/>
                <w:color w:val="auto"/>
              </w:rPr>
              <w:t>3</w:t>
            </w:r>
            <w:r>
              <w:rPr>
                <w:bCs w:val="0"/>
                <w:color w:val="auto"/>
              </w:rPr>
              <w:t>32</w:t>
            </w:r>
            <w:r>
              <w:rPr>
                <w:rFonts w:hint="eastAsia"/>
                <w:bCs w:val="0"/>
                <w:color w:val="auto"/>
              </w:rPr>
              <w:t>万米/a</w:t>
            </w:r>
          </w:p>
        </w:tc>
        <w:tc>
          <w:tcPr>
            <w:tcW w:w="1134" w:type="dxa"/>
            <w:vMerge w:val="restart"/>
            <w:tcBorders>
              <w:right w:val="single" w:color="auto" w:sz="4" w:space="0"/>
            </w:tcBorders>
            <w:vAlign w:val="center"/>
          </w:tcPr>
          <w:p>
            <w:pPr>
              <w:pStyle w:val="44"/>
              <w:rPr>
                <w:bCs w:val="0"/>
                <w:color w:val="auto"/>
              </w:rPr>
            </w:pPr>
            <w:r>
              <w:rPr>
                <w:rFonts w:hint="eastAsia"/>
                <w:bCs w:val="0"/>
                <w:color w:val="auto"/>
              </w:rPr>
              <w:t>1</w:t>
            </w:r>
            <w:r>
              <w:rPr>
                <w:bCs w:val="0"/>
                <w:color w:val="auto"/>
              </w:rPr>
              <w:t>1067</w:t>
            </w:r>
            <w:r>
              <w:rPr>
                <w:rFonts w:hint="eastAsia"/>
                <w:bCs w:val="0"/>
                <w:color w:val="auto"/>
              </w:rPr>
              <w:t>米/d</w:t>
            </w:r>
          </w:p>
        </w:tc>
        <w:tc>
          <w:tcPr>
            <w:tcW w:w="1134" w:type="dxa"/>
            <w:vMerge w:val="restart"/>
            <w:tcBorders>
              <w:left w:val="single" w:color="auto" w:sz="4" w:space="0"/>
            </w:tcBorders>
            <w:vAlign w:val="center"/>
          </w:tcPr>
          <w:p>
            <w:pPr>
              <w:pStyle w:val="44"/>
              <w:rPr>
                <w:bCs w:val="0"/>
                <w:color w:val="auto"/>
              </w:rPr>
            </w:pPr>
            <w:r>
              <w:rPr>
                <w:rFonts w:hint="eastAsia"/>
                <w:bCs w:val="0"/>
                <w:color w:val="auto"/>
              </w:rPr>
              <w:t>1</w:t>
            </w:r>
            <w:r>
              <w:rPr>
                <w:bCs w:val="0"/>
                <w:color w:val="auto"/>
              </w:rPr>
              <w:t>1067</w:t>
            </w:r>
            <w:r>
              <w:rPr>
                <w:rFonts w:hint="eastAsia"/>
                <w:bCs w:val="0"/>
                <w:color w:val="auto"/>
              </w:rPr>
              <w:t>米/d</w:t>
            </w:r>
          </w:p>
        </w:tc>
        <w:tc>
          <w:tcPr>
            <w:tcW w:w="1985" w:type="dxa"/>
            <w:tcBorders>
              <w:right w:val="single" w:color="auto" w:sz="4" w:space="0"/>
            </w:tcBorders>
            <w:vAlign w:val="center"/>
          </w:tcPr>
          <w:p>
            <w:pPr>
              <w:pStyle w:val="44"/>
              <w:rPr>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2</w:t>
            </w:r>
            <w:r>
              <w:rPr>
                <w:rFonts w:hint="eastAsia"/>
                <w:bCs w:val="0"/>
                <w:color w:val="auto"/>
              </w:rPr>
              <w:t>日</w:t>
            </w:r>
          </w:p>
        </w:tc>
        <w:tc>
          <w:tcPr>
            <w:tcW w:w="850" w:type="dxa"/>
            <w:tcBorders>
              <w:left w:val="single" w:color="auto" w:sz="4" w:space="0"/>
            </w:tcBorders>
            <w:vAlign w:val="center"/>
          </w:tcPr>
          <w:p>
            <w:pPr>
              <w:pStyle w:val="44"/>
              <w:rPr>
                <w:bCs w:val="0"/>
                <w:color w:val="auto"/>
              </w:rPr>
            </w:pPr>
            <w:r>
              <w:rPr>
                <w:bCs w:val="0"/>
                <w:color w:val="auto"/>
              </w:rPr>
              <w:t>9500</w:t>
            </w:r>
          </w:p>
        </w:tc>
        <w:tc>
          <w:tcPr>
            <w:tcW w:w="981" w:type="dxa"/>
            <w:vAlign w:val="center"/>
          </w:tcPr>
          <w:p>
            <w:pPr>
              <w:pStyle w:val="44"/>
              <w:rPr>
                <w:bCs w:val="0"/>
                <w:color w:val="auto"/>
              </w:rPr>
            </w:pPr>
            <w:r>
              <w:rPr>
                <w:rFonts w:hint="eastAsia"/>
                <w:bCs w:val="0"/>
                <w:color w:val="auto"/>
              </w:rPr>
              <w:t>8</w:t>
            </w:r>
            <w:r>
              <w:rPr>
                <w:bCs w:val="0"/>
                <w:color w:val="auto"/>
              </w:rPr>
              <w:t>5.7</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3</w:t>
            </w:r>
            <w:r>
              <w:rPr>
                <w:rFonts w:hint="eastAsia"/>
                <w:bCs w:val="0"/>
                <w:color w:val="auto"/>
              </w:rPr>
              <w:t>日</w:t>
            </w:r>
          </w:p>
        </w:tc>
        <w:tc>
          <w:tcPr>
            <w:tcW w:w="850" w:type="dxa"/>
            <w:tcBorders>
              <w:left w:val="single" w:color="auto" w:sz="4" w:space="0"/>
            </w:tcBorders>
            <w:vAlign w:val="center"/>
          </w:tcPr>
          <w:p>
            <w:pPr>
              <w:pStyle w:val="44"/>
              <w:rPr>
                <w:bCs w:val="0"/>
                <w:color w:val="auto"/>
              </w:rPr>
            </w:pPr>
            <w:r>
              <w:rPr>
                <w:bCs w:val="0"/>
                <w:color w:val="auto"/>
              </w:rPr>
              <w:t>9800</w:t>
            </w:r>
          </w:p>
        </w:tc>
        <w:tc>
          <w:tcPr>
            <w:tcW w:w="981" w:type="dxa"/>
            <w:vAlign w:val="center"/>
          </w:tcPr>
          <w:p>
            <w:pPr>
              <w:pStyle w:val="44"/>
              <w:rPr>
                <w:bCs w:val="0"/>
                <w:color w:val="auto"/>
              </w:rPr>
            </w:pPr>
            <w:r>
              <w:rPr>
                <w:bCs w:val="0"/>
                <w:color w:val="auto"/>
              </w:rPr>
              <w:t>88.6</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FF0000"/>
              </w:rPr>
            </w:pPr>
            <w:r>
              <w:rPr>
                <w:rFonts w:hint="eastAsia"/>
                <w:bCs w:val="0"/>
                <w:color w:val="FF0000"/>
              </w:rPr>
              <w:t>2</w:t>
            </w:r>
            <w:r>
              <w:rPr>
                <w:bCs w:val="0"/>
                <w:color w:val="FF0000"/>
              </w:rPr>
              <w:t>022年</w:t>
            </w:r>
            <w:r>
              <w:rPr>
                <w:rFonts w:hint="eastAsia"/>
                <w:bCs w:val="0"/>
                <w:color w:val="FF0000"/>
              </w:rPr>
              <w:t>1</w:t>
            </w:r>
            <w:r>
              <w:rPr>
                <w:bCs w:val="0"/>
                <w:color w:val="FF0000"/>
              </w:rPr>
              <w:t>1月</w:t>
            </w:r>
            <w:r>
              <w:rPr>
                <w:rFonts w:hint="eastAsia"/>
                <w:bCs w:val="0"/>
                <w:color w:val="FF0000"/>
              </w:rPr>
              <w:t>3</w:t>
            </w:r>
            <w:r>
              <w:rPr>
                <w:bCs w:val="0"/>
                <w:color w:val="FF0000"/>
              </w:rPr>
              <w:t>0日</w:t>
            </w:r>
          </w:p>
        </w:tc>
        <w:tc>
          <w:tcPr>
            <w:tcW w:w="850" w:type="dxa"/>
            <w:tcBorders>
              <w:left w:val="single" w:color="auto" w:sz="4" w:space="0"/>
            </w:tcBorders>
            <w:vAlign w:val="center"/>
          </w:tcPr>
          <w:p>
            <w:pPr>
              <w:pStyle w:val="44"/>
              <w:rPr>
                <w:bCs w:val="0"/>
                <w:color w:val="FF0000"/>
              </w:rPr>
            </w:pPr>
            <w:r>
              <w:rPr>
                <w:rFonts w:hint="eastAsia"/>
                <w:bCs w:val="0"/>
                <w:color w:val="FF0000"/>
              </w:rPr>
              <w:t>9</w:t>
            </w:r>
            <w:r>
              <w:rPr>
                <w:bCs w:val="0"/>
                <w:color w:val="FF0000"/>
              </w:rPr>
              <w:t>600</w:t>
            </w:r>
          </w:p>
        </w:tc>
        <w:tc>
          <w:tcPr>
            <w:tcW w:w="981" w:type="dxa"/>
            <w:vAlign w:val="center"/>
          </w:tcPr>
          <w:p>
            <w:pPr>
              <w:pStyle w:val="44"/>
              <w:rPr>
                <w:bCs w:val="0"/>
                <w:color w:val="FF0000"/>
              </w:rPr>
            </w:pPr>
            <w:r>
              <w:rPr>
                <w:rFonts w:hint="eastAsia"/>
                <w:bCs w:val="0"/>
                <w:color w:val="FF0000"/>
              </w:rPr>
              <w:t>8</w:t>
            </w:r>
            <w:r>
              <w:rPr>
                <w:bCs w:val="0"/>
                <w:color w:val="FF0000"/>
              </w:rPr>
              <w:t>6.7</w:t>
            </w:r>
            <w:r>
              <w:rPr>
                <w:rFonts w:hint="eastAsia"/>
                <w:bCs w:val="0"/>
                <w:color w:val="FF0000"/>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FF0000"/>
              </w:rPr>
            </w:pPr>
            <w:r>
              <w:rPr>
                <w:rFonts w:hint="eastAsia"/>
                <w:bCs w:val="0"/>
                <w:color w:val="FF0000"/>
              </w:rPr>
              <w:t>2</w:t>
            </w:r>
            <w:r>
              <w:rPr>
                <w:bCs w:val="0"/>
                <w:color w:val="FF0000"/>
              </w:rPr>
              <w:t>022年</w:t>
            </w:r>
            <w:r>
              <w:rPr>
                <w:rFonts w:hint="eastAsia"/>
                <w:bCs w:val="0"/>
                <w:color w:val="FF0000"/>
              </w:rPr>
              <w:t>1</w:t>
            </w:r>
            <w:r>
              <w:rPr>
                <w:bCs w:val="0"/>
                <w:color w:val="FF0000"/>
              </w:rPr>
              <w:t>2月</w:t>
            </w:r>
            <w:r>
              <w:rPr>
                <w:rFonts w:hint="eastAsia"/>
                <w:bCs w:val="0"/>
                <w:color w:val="FF0000"/>
              </w:rPr>
              <w:t>1日</w:t>
            </w:r>
          </w:p>
        </w:tc>
        <w:tc>
          <w:tcPr>
            <w:tcW w:w="850" w:type="dxa"/>
            <w:tcBorders>
              <w:left w:val="single" w:color="auto" w:sz="4" w:space="0"/>
            </w:tcBorders>
            <w:vAlign w:val="center"/>
          </w:tcPr>
          <w:p>
            <w:pPr>
              <w:pStyle w:val="44"/>
              <w:rPr>
                <w:bCs w:val="0"/>
                <w:color w:val="FF0000"/>
              </w:rPr>
            </w:pPr>
            <w:r>
              <w:rPr>
                <w:rFonts w:hint="eastAsia"/>
                <w:bCs w:val="0"/>
                <w:color w:val="FF0000"/>
              </w:rPr>
              <w:t>9</w:t>
            </w:r>
            <w:r>
              <w:rPr>
                <w:bCs w:val="0"/>
                <w:color w:val="FF0000"/>
              </w:rPr>
              <w:t>800</w:t>
            </w:r>
          </w:p>
        </w:tc>
        <w:tc>
          <w:tcPr>
            <w:tcW w:w="981" w:type="dxa"/>
            <w:vAlign w:val="center"/>
          </w:tcPr>
          <w:p>
            <w:pPr>
              <w:pStyle w:val="44"/>
              <w:rPr>
                <w:bCs w:val="0"/>
                <w:color w:val="FF0000"/>
              </w:rPr>
            </w:pPr>
            <w:r>
              <w:rPr>
                <w:rFonts w:hint="eastAsia"/>
                <w:bCs w:val="0"/>
                <w:color w:val="FF0000"/>
              </w:rPr>
              <w:t>8</w:t>
            </w:r>
            <w:r>
              <w:rPr>
                <w:bCs w:val="0"/>
                <w:color w:val="FF0000"/>
              </w:rPr>
              <w:t>8.6</w:t>
            </w:r>
            <w:r>
              <w:rPr>
                <w:rFonts w:hint="eastAsia"/>
                <w:bCs w:val="0"/>
                <w:color w:val="FF0000"/>
              </w:rPr>
              <w:t>%</w:t>
            </w:r>
          </w:p>
        </w:tc>
      </w:tr>
    </w:tbl>
    <w:p>
      <w:pPr>
        <w:pStyle w:val="5"/>
        <w:spacing w:before="156" w:beforeLines="50"/>
      </w:pPr>
      <w:bookmarkStart w:id="110" w:name="_Toc81808529"/>
      <w:bookmarkStart w:id="111" w:name="_Toc515273930"/>
      <w:r>
        <w:t>9.2环境保护设施调试效果</w:t>
      </w:r>
      <w:bookmarkEnd w:id="110"/>
      <w:bookmarkEnd w:id="111"/>
    </w:p>
    <w:p>
      <w:pPr>
        <w:pStyle w:val="6"/>
        <w:rPr>
          <w:highlight w:val="yellow"/>
        </w:rPr>
      </w:pPr>
      <w:bookmarkStart w:id="112" w:name="_Toc81808530"/>
      <w:bookmarkStart w:id="113" w:name="_Toc81808418"/>
      <w:r>
        <w:t>9.2.1废水</w:t>
      </w:r>
      <w:bookmarkEnd w:id="112"/>
      <w:bookmarkEnd w:id="113"/>
    </w:p>
    <w:p>
      <w:pPr>
        <w:ind w:firstLine="480"/>
        <w:rPr>
          <w:rFonts w:cs="Times New Roman"/>
        </w:rPr>
      </w:pPr>
      <w:r>
        <w:rPr>
          <w:rFonts w:hint="eastAsia" w:cs="Times New Roman"/>
        </w:rPr>
        <w:t>浙江泓远检测科技有限公司</w:t>
      </w:r>
      <w:r>
        <w:rPr>
          <w:rFonts w:cs="Times New Roman"/>
        </w:rPr>
        <w:t>于</w:t>
      </w:r>
      <w:r>
        <w:rPr>
          <w:rFonts w:cs="Times New Roman"/>
          <w:color w:val="FF0000"/>
        </w:rPr>
        <w:t>2022年</w:t>
      </w:r>
      <w:r>
        <w:rPr>
          <w:rFonts w:hint="eastAsia" w:cs="Times New Roman"/>
          <w:color w:val="FF0000"/>
        </w:rPr>
        <w:t>1</w:t>
      </w:r>
      <w:r>
        <w:rPr>
          <w:rFonts w:cs="Times New Roman"/>
          <w:color w:val="FF0000"/>
        </w:rPr>
        <w:t>1月</w:t>
      </w:r>
      <w:r>
        <w:rPr>
          <w:rFonts w:hint="eastAsia" w:cs="Times New Roman"/>
          <w:color w:val="FF0000"/>
        </w:rPr>
        <w:t>3</w:t>
      </w:r>
      <w:r>
        <w:rPr>
          <w:rFonts w:cs="Times New Roman"/>
          <w:color w:val="FF0000"/>
        </w:rPr>
        <w:t>0日</w:t>
      </w:r>
      <w:r>
        <w:rPr>
          <w:rFonts w:hint="eastAsia" w:cs="Times New Roman"/>
          <w:color w:val="FF0000"/>
        </w:rPr>
        <w:t>、12月1日</w:t>
      </w:r>
      <w:r>
        <w:rPr>
          <w:rFonts w:cs="Times New Roman"/>
          <w:color w:val="FF0000"/>
        </w:rPr>
        <w:t>对</w:t>
      </w:r>
      <w:r>
        <w:rPr>
          <w:rFonts w:hint="eastAsia" w:cs="Times New Roman"/>
          <w:color w:val="FF0000"/>
        </w:rPr>
        <w:t>桐乡市诺派纺织科技有限公司隔油池进口、A</w:t>
      </w:r>
      <w:r>
        <w:rPr>
          <w:rFonts w:cs="Times New Roman"/>
          <w:color w:val="FF0000"/>
        </w:rPr>
        <w:t>O池进口</w:t>
      </w:r>
      <w:r>
        <w:rPr>
          <w:rFonts w:hint="eastAsia" w:cs="Times New Roman"/>
          <w:color w:val="FF0000"/>
        </w:rPr>
        <w:t>、废水总排口</w:t>
      </w:r>
      <w:r>
        <w:rPr>
          <w:rFonts w:cs="Times New Roman"/>
          <w:color w:val="FF0000"/>
        </w:rPr>
        <w:t>的</w:t>
      </w:r>
      <w:r>
        <w:rPr>
          <w:rFonts w:hint="eastAsia" w:cs="Times New Roman"/>
          <w:color w:val="FF0000"/>
        </w:rPr>
        <w:t>废水</w:t>
      </w:r>
      <w:r>
        <w:rPr>
          <w:rFonts w:cs="Times New Roman"/>
          <w:color w:val="FF0000"/>
        </w:rPr>
        <w:t>进行了</w:t>
      </w:r>
      <w:r>
        <w:rPr>
          <w:rFonts w:hint="eastAsia" w:cs="Times New Roman"/>
          <w:color w:val="FF0000"/>
        </w:rPr>
        <w:t>现场</w:t>
      </w:r>
      <w:r>
        <w:rPr>
          <w:rFonts w:cs="Times New Roman"/>
          <w:color w:val="FF0000"/>
        </w:rPr>
        <w:t>监测，本项目废水水质监测结果见表9-2</w:t>
      </w:r>
      <w:r>
        <w:rPr>
          <w:rFonts w:cs="Times New Roman"/>
        </w:rPr>
        <w:t>。</w:t>
      </w:r>
    </w:p>
    <w:p>
      <w:pPr>
        <w:ind w:firstLine="480"/>
      </w:pPr>
      <w:r>
        <w:rPr>
          <w:rFonts w:hint="eastAsia"/>
        </w:rPr>
        <w:t>根据监测结果，公司隔油池进口、A</w:t>
      </w:r>
      <w:r>
        <w:t>O池进口</w:t>
      </w:r>
      <w:r>
        <w:rPr>
          <w:rFonts w:hint="eastAsia"/>
        </w:rPr>
        <w:t>、废水总排口的水质中pH值、SS、COD</w:t>
      </w:r>
      <w:r>
        <w:rPr>
          <w:rFonts w:hint="eastAsia"/>
          <w:vertAlign w:val="subscript"/>
        </w:rPr>
        <w:t>Cr</w:t>
      </w:r>
      <w:r>
        <w:rPr>
          <w:rFonts w:hint="eastAsia"/>
        </w:rPr>
        <w:t>、BOD</w:t>
      </w:r>
      <w:r>
        <w:rPr>
          <w:rFonts w:hint="eastAsia"/>
          <w:vertAlign w:val="subscript"/>
        </w:rPr>
        <w:t>5</w:t>
      </w:r>
      <w:r>
        <w:rPr>
          <w:rFonts w:hint="eastAsia"/>
        </w:rPr>
        <w:t>、N</w:t>
      </w:r>
      <w:r>
        <w:t>H</w:t>
      </w:r>
      <w:r>
        <w:rPr>
          <w:vertAlign w:val="subscript"/>
        </w:rPr>
        <w:t>3</w:t>
      </w:r>
      <w:r>
        <w:t>-N</w:t>
      </w:r>
      <w:r>
        <w:rPr>
          <w:rFonts w:hint="eastAsia"/>
        </w:rPr>
        <w:t>、总磷、色度的污染物浓度日均值均达到《纺织染整工业水污染物排放标准》（G</w:t>
      </w:r>
      <w:r>
        <w:t>B4287-2012</w:t>
      </w:r>
      <w:r>
        <w:rPr>
          <w:rFonts w:hint="eastAsia"/>
        </w:rPr>
        <w:t>）及其修改单（环保部公告2</w:t>
      </w:r>
      <w:r>
        <w:t>015年第</w:t>
      </w:r>
      <w:r>
        <w:rPr>
          <w:rFonts w:hint="eastAsia"/>
        </w:rPr>
        <w:t>1</w:t>
      </w:r>
      <w:r>
        <w:t>9号</w:t>
      </w:r>
      <w:r>
        <w:rPr>
          <w:rFonts w:hint="eastAsia"/>
        </w:rPr>
        <w:t>），以及《关于调整&lt;纺织染整工业污染物排放标准</w:t>
      </w:r>
      <w:r>
        <w:t>&gt;</w:t>
      </w:r>
      <w:r>
        <w:rPr>
          <w:rFonts w:hint="eastAsia"/>
        </w:rPr>
        <w:t>（G</w:t>
      </w:r>
      <w:r>
        <w:t>B4287-2012</w:t>
      </w:r>
      <w:r>
        <w:rPr>
          <w:rFonts w:hint="eastAsia"/>
        </w:rPr>
        <w:t>）部分指标执行要求的公告》（环保部公告2</w:t>
      </w:r>
      <w:r>
        <w:t>015年第</w:t>
      </w:r>
      <w:r>
        <w:rPr>
          <w:rFonts w:hint="eastAsia"/>
        </w:rPr>
        <w:t>4</w:t>
      </w:r>
      <w:r>
        <w:t>1号</w:t>
      </w:r>
      <w:r>
        <w:rPr>
          <w:rFonts w:hint="eastAsia"/>
        </w:rPr>
        <w:t>）要求的表2</w:t>
      </w:r>
      <w:r>
        <w:t>规定的间接排放限值</w:t>
      </w:r>
      <w:r>
        <w:rPr>
          <w:rFonts w:hint="eastAsia"/>
        </w:rPr>
        <w:t>。pH值、SS、COD</w:t>
      </w:r>
      <w:r>
        <w:rPr>
          <w:rFonts w:hint="eastAsia"/>
          <w:vertAlign w:val="subscript"/>
        </w:rPr>
        <w:t>Cr</w:t>
      </w:r>
      <w:r>
        <w:rPr>
          <w:rFonts w:hint="eastAsia"/>
        </w:rPr>
        <w:t>、BOD</w:t>
      </w:r>
      <w:r>
        <w:rPr>
          <w:rFonts w:hint="eastAsia"/>
          <w:vertAlign w:val="subscript"/>
        </w:rPr>
        <w:t>5</w:t>
      </w:r>
      <w:r>
        <w:rPr>
          <w:rFonts w:hint="eastAsia"/>
        </w:rPr>
        <w:t>、NH</w:t>
      </w:r>
      <w:r>
        <w:rPr>
          <w:rFonts w:hint="eastAsia"/>
          <w:vertAlign w:val="subscript"/>
        </w:rPr>
        <w:t>3</w:t>
      </w:r>
      <w:r>
        <w:rPr>
          <w:rFonts w:hint="eastAsia"/>
        </w:rPr>
        <w:t>-N、总磷、色度的单项次达标率为100%。</w:t>
      </w:r>
    </w:p>
    <w:p>
      <w:pPr>
        <w:pStyle w:val="2"/>
        <w:ind w:left="480" w:firstLine="480"/>
      </w:pPr>
    </w:p>
    <w:p>
      <w:pPr>
        <w:spacing w:before="62" w:after="31"/>
        <w:ind w:firstLine="480"/>
        <w:sectPr>
          <w:pgSz w:w="11906" w:h="16838"/>
          <w:pgMar w:top="1418" w:right="1701" w:bottom="1418" w:left="1701" w:header="851" w:footer="992" w:gutter="0"/>
          <w:pgNumType w:fmt="numberInDash"/>
          <w:cols w:space="425" w:num="1"/>
          <w:docGrid w:type="lines" w:linePitch="312" w:charSpace="0"/>
        </w:sectPr>
      </w:pPr>
    </w:p>
    <w:p>
      <w:pPr>
        <w:pStyle w:val="39"/>
        <w:spacing w:before="65" w:after="32"/>
        <w:rPr>
          <w:color w:val="FF0000"/>
        </w:rPr>
      </w:pPr>
      <w:r>
        <w:rPr>
          <w:color w:val="FF0000"/>
        </w:rPr>
        <w:t>表9-2  废水水质监测结果（单位：pH值为无量纲，其余为mg/L）</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396"/>
        <w:gridCol w:w="1820"/>
        <w:gridCol w:w="1112"/>
        <w:gridCol w:w="1402"/>
        <w:gridCol w:w="1095"/>
        <w:gridCol w:w="995"/>
        <w:gridCol w:w="1274"/>
        <w:gridCol w:w="1086"/>
        <w:gridCol w:w="1135"/>
        <w:gridCol w:w="867"/>
        <w:gridCol w:w="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06" w:type="pct"/>
            <w:vAlign w:val="center"/>
          </w:tcPr>
          <w:p>
            <w:pPr>
              <w:pStyle w:val="44"/>
              <w:spacing w:before="65" w:after="32"/>
              <w:rPr>
                <w:b/>
                <w:bCs w:val="0"/>
                <w:color w:val="auto"/>
              </w:rPr>
            </w:pPr>
            <w:bookmarkStart w:id="114" w:name="_Hlk73979158"/>
            <w:r>
              <w:rPr>
                <w:b/>
                <w:bCs w:val="0"/>
                <w:color w:val="auto"/>
              </w:rPr>
              <w:t>采样日期</w:t>
            </w:r>
          </w:p>
        </w:tc>
        <w:tc>
          <w:tcPr>
            <w:tcW w:w="491" w:type="pct"/>
            <w:vAlign w:val="center"/>
          </w:tcPr>
          <w:p>
            <w:pPr>
              <w:pStyle w:val="44"/>
              <w:spacing w:before="65" w:after="32"/>
              <w:rPr>
                <w:b/>
                <w:bCs w:val="0"/>
                <w:color w:val="auto"/>
              </w:rPr>
            </w:pPr>
            <w:r>
              <w:rPr>
                <w:rFonts w:hint="eastAsia"/>
                <w:b/>
                <w:bCs w:val="0"/>
                <w:color w:val="auto"/>
              </w:rPr>
              <w:t>监测位置</w:t>
            </w:r>
          </w:p>
        </w:tc>
        <w:tc>
          <w:tcPr>
            <w:tcW w:w="640" w:type="pct"/>
            <w:vAlign w:val="center"/>
          </w:tcPr>
          <w:p>
            <w:pPr>
              <w:pStyle w:val="44"/>
              <w:spacing w:before="65" w:after="32"/>
              <w:rPr>
                <w:b/>
                <w:bCs w:val="0"/>
                <w:color w:val="auto"/>
              </w:rPr>
            </w:pPr>
            <w:r>
              <w:rPr>
                <w:b/>
                <w:bCs w:val="0"/>
                <w:color w:val="auto"/>
              </w:rPr>
              <w:t>样品编号</w:t>
            </w:r>
          </w:p>
        </w:tc>
        <w:tc>
          <w:tcPr>
            <w:tcW w:w="391" w:type="pct"/>
            <w:vAlign w:val="center"/>
          </w:tcPr>
          <w:p>
            <w:pPr>
              <w:pStyle w:val="44"/>
              <w:spacing w:before="65" w:after="32"/>
              <w:rPr>
                <w:b/>
                <w:bCs w:val="0"/>
                <w:color w:val="auto"/>
              </w:rPr>
            </w:pPr>
            <w:r>
              <w:rPr>
                <w:rFonts w:hint="eastAsia"/>
                <w:b/>
                <w:bCs w:val="0"/>
                <w:color w:val="auto"/>
              </w:rPr>
              <w:t>采样时间</w:t>
            </w:r>
          </w:p>
        </w:tc>
        <w:tc>
          <w:tcPr>
            <w:tcW w:w="493" w:type="pct"/>
            <w:vAlign w:val="center"/>
          </w:tcPr>
          <w:p>
            <w:pPr>
              <w:pStyle w:val="44"/>
              <w:spacing w:before="65" w:after="32"/>
              <w:rPr>
                <w:b/>
                <w:bCs w:val="0"/>
                <w:color w:val="auto"/>
              </w:rPr>
            </w:pPr>
            <w:r>
              <w:rPr>
                <w:rFonts w:hint="eastAsia"/>
                <w:b/>
                <w:bCs w:val="0"/>
                <w:color w:val="auto"/>
              </w:rPr>
              <w:t>样品性状</w:t>
            </w:r>
          </w:p>
        </w:tc>
        <w:tc>
          <w:tcPr>
            <w:tcW w:w="385" w:type="pct"/>
            <w:vAlign w:val="center"/>
          </w:tcPr>
          <w:p>
            <w:pPr>
              <w:pStyle w:val="44"/>
              <w:spacing w:before="65" w:after="32"/>
              <w:rPr>
                <w:b/>
                <w:bCs w:val="0"/>
                <w:color w:val="auto"/>
              </w:rPr>
            </w:pPr>
            <w:r>
              <w:rPr>
                <w:b/>
                <w:bCs w:val="0"/>
                <w:color w:val="auto"/>
              </w:rPr>
              <w:t>pH值</w:t>
            </w:r>
          </w:p>
        </w:tc>
        <w:tc>
          <w:tcPr>
            <w:tcW w:w="350" w:type="pct"/>
            <w:vAlign w:val="center"/>
          </w:tcPr>
          <w:p>
            <w:pPr>
              <w:pStyle w:val="44"/>
              <w:spacing w:before="65" w:after="32"/>
              <w:rPr>
                <w:b/>
                <w:bCs w:val="0"/>
                <w:color w:val="auto"/>
              </w:rPr>
            </w:pPr>
            <w:r>
              <w:rPr>
                <w:b/>
                <w:bCs w:val="0"/>
                <w:color w:val="auto"/>
              </w:rPr>
              <w:t>SS</w:t>
            </w:r>
          </w:p>
        </w:tc>
        <w:tc>
          <w:tcPr>
            <w:tcW w:w="448" w:type="pct"/>
            <w:vAlign w:val="center"/>
          </w:tcPr>
          <w:p>
            <w:pPr>
              <w:pStyle w:val="44"/>
              <w:spacing w:before="65" w:after="32"/>
              <w:rPr>
                <w:b/>
                <w:bCs w:val="0"/>
                <w:color w:val="auto"/>
              </w:rPr>
            </w:pPr>
            <w:r>
              <w:rPr>
                <w:b/>
                <w:bCs w:val="0"/>
                <w:color w:val="auto"/>
              </w:rPr>
              <w:t>BOD</w:t>
            </w:r>
            <w:r>
              <w:rPr>
                <w:b/>
                <w:bCs w:val="0"/>
                <w:color w:val="auto"/>
                <w:vertAlign w:val="subscript"/>
              </w:rPr>
              <w:t>5</w:t>
            </w:r>
          </w:p>
        </w:tc>
        <w:tc>
          <w:tcPr>
            <w:tcW w:w="382" w:type="pct"/>
            <w:vAlign w:val="center"/>
          </w:tcPr>
          <w:p>
            <w:pPr>
              <w:pStyle w:val="44"/>
              <w:spacing w:before="65" w:after="32"/>
              <w:rPr>
                <w:b/>
                <w:bCs w:val="0"/>
                <w:color w:val="auto"/>
              </w:rPr>
            </w:pPr>
            <w:r>
              <w:rPr>
                <w:b/>
                <w:bCs w:val="0"/>
                <w:color w:val="auto"/>
              </w:rPr>
              <w:t>COD</w:t>
            </w:r>
            <w:r>
              <w:rPr>
                <w:b/>
                <w:bCs w:val="0"/>
                <w:color w:val="auto"/>
                <w:vertAlign w:val="subscript"/>
              </w:rPr>
              <w:t>Cr</w:t>
            </w:r>
          </w:p>
        </w:tc>
        <w:tc>
          <w:tcPr>
            <w:tcW w:w="399" w:type="pct"/>
            <w:vAlign w:val="center"/>
          </w:tcPr>
          <w:p>
            <w:pPr>
              <w:pStyle w:val="44"/>
              <w:spacing w:before="65" w:after="32"/>
              <w:rPr>
                <w:b/>
                <w:bCs w:val="0"/>
                <w:color w:val="auto"/>
              </w:rPr>
            </w:pPr>
            <w:r>
              <w:rPr>
                <w:b/>
                <w:bCs w:val="0"/>
                <w:color w:val="auto"/>
              </w:rPr>
              <w:t>NH</w:t>
            </w:r>
            <w:r>
              <w:rPr>
                <w:b/>
                <w:bCs w:val="0"/>
                <w:color w:val="auto"/>
                <w:vertAlign w:val="subscript"/>
              </w:rPr>
              <w:t>3</w:t>
            </w:r>
            <w:r>
              <w:rPr>
                <w:b/>
                <w:bCs w:val="0"/>
                <w:color w:val="auto"/>
              </w:rPr>
              <w:t>-N</w:t>
            </w:r>
          </w:p>
        </w:tc>
        <w:tc>
          <w:tcPr>
            <w:tcW w:w="305" w:type="pct"/>
            <w:vAlign w:val="center"/>
          </w:tcPr>
          <w:p>
            <w:pPr>
              <w:pStyle w:val="44"/>
              <w:spacing w:before="65" w:after="32"/>
              <w:rPr>
                <w:b/>
                <w:bCs w:val="0"/>
                <w:color w:val="auto"/>
              </w:rPr>
            </w:pPr>
            <w:r>
              <w:rPr>
                <w:rFonts w:hint="eastAsia"/>
                <w:b/>
                <w:bCs w:val="0"/>
                <w:color w:val="auto"/>
              </w:rPr>
              <w:t>总磷</w:t>
            </w:r>
          </w:p>
        </w:tc>
        <w:tc>
          <w:tcPr>
            <w:tcW w:w="310" w:type="pct"/>
            <w:vAlign w:val="center"/>
          </w:tcPr>
          <w:p>
            <w:pPr>
              <w:pStyle w:val="44"/>
              <w:spacing w:before="65" w:after="32"/>
              <w:rPr>
                <w:b/>
                <w:bCs w:val="0"/>
                <w:color w:val="auto"/>
              </w:rPr>
            </w:pPr>
            <w:r>
              <w:rPr>
                <w:b/>
                <w:bCs w:val="0"/>
                <w:color w:val="auto"/>
              </w:rPr>
              <w:t>色度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restart"/>
            <w:vAlign w:val="center"/>
          </w:tcPr>
          <w:p>
            <w:pPr>
              <w:pStyle w:val="44"/>
              <w:spacing w:before="65" w:after="32"/>
              <w:rPr>
                <w:bCs w:val="0"/>
                <w:color w:val="auto"/>
              </w:rPr>
            </w:pPr>
            <w:r>
              <w:rPr>
                <w:bCs w:val="0"/>
                <w:color w:val="auto"/>
              </w:rPr>
              <w:t>2022.11.30</w:t>
            </w:r>
          </w:p>
        </w:tc>
        <w:tc>
          <w:tcPr>
            <w:tcW w:w="491" w:type="pct"/>
            <w:vMerge w:val="restart"/>
            <w:vAlign w:val="center"/>
          </w:tcPr>
          <w:p>
            <w:pPr>
              <w:pStyle w:val="44"/>
              <w:spacing w:before="65" w:after="32"/>
              <w:rPr>
                <w:bCs w:val="0"/>
                <w:color w:val="auto"/>
              </w:rPr>
            </w:pPr>
            <w:r>
              <w:rPr>
                <w:rFonts w:hint="eastAsia"/>
                <w:bCs w:val="0"/>
                <w:color w:val="auto"/>
              </w:rPr>
              <w:t>隔油池进口</w:t>
            </w: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211308001</w:t>
            </w:r>
          </w:p>
        </w:tc>
        <w:tc>
          <w:tcPr>
            <w:tcW w:w="391" w:type="pct"/>
            <w:vAlign w:val="center"/>
          </w:tcPr>
          <w:p>
            <w:pPr>
              <w:pStyle w:val="44"/>
              <w:spacing w:before="65" w:after="32"/>
              <w:rPr>
                <w:bCs w:val="0"/>
                <w:color w:val="auto"/>
              </w:rPr>
            </w:pPr>
            <w:r>
              <w:rPr>
                <w:rFonts w:hint="eastAsia"/>
                <w:bCs w:val="0"/>
                <w:color w:val="auto"/>
              </w:rPr>
              <w:t>1</w:t>
            </w:r>
            <w:r>
              <w:rPr>
                <w:bCs w:val="0"/>
                <w:color w:val="auto"/>
              </w:rPr>
              <w:t>3</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.30</w:t>
            </w:r>
          </w:p>
        </w:tc>
        <w:tc>
          <w:tcPr>
            <w:tcW w:w="350" w:type="pct"/>
            <w:shd w:val="clear" w:color="auto" w:fill="auto"/>
            <w:vAlign w:val="center"/>
          </w:tcPr>
          <w:p>
            <w:pPr>
              <w:pStyle w:val="44"/>
              <w:spacing w:before="65" w:after="32"/>
              <w:rPr>
                <w:bCs w:val="0"/>
                <w:color w:val="auto"/>
              </w:rPr>
            </w:pPr>
            <w:r>
              <w:rPr>
                <w:bCs w:val="0"/>
                <w:color w:val="auto"/>
              </w:rPr>
              <w:t>200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60</w:t>
            </w:r>
          </w:p>
        </w:tc>
        <w:tc>
          <w:tcPr>
            <w:tcW w:w="382" w:type="pct"/>
            <w:shd w:val="clear" w:color="auto" w:fill="auto"/>
            <w:vAlign w:val="center"/>
          </w:tcPr>
          <w:p>
            <w:pPr>
              <w:pStyle w:val="44"/>
              <w:spacing w:before="65" w:after="32"/>
              <w:rPr>
                <w:bCs w:val="0"/>
                <w:color w:val="auto"/>
              </w:rPr>
            </w:pPr>
            <w:r>
              <w:rPr>
                <w:rFonts w:hint="eastAsia"/>
                <w:bCs w:val="0"/>
                <w:color w:val="auto"/>
              </w:rPr>
              <w:t>2</w:t>
            </w:r>
            <w:r>
              <w:rPr>
                <w:bCs w:val="0"/>
                <w:color w:val="auto"/>
              </w:rPr>
              <w:t>.38×10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169</w:t>
            </w:r>
          </w:p>
        </w:tc>
        <w:tc>
          <w:tcPr>
            <w:tcW w:w="305" w:type="pct"/>
            <w:shd w:val="clear" w:color="auto" w:fill="auto"/>
            <w:vAlign w:val="center"/>
          </w:tcPr>
          <w:p>
            <w:pPr>
              <w:pStyle w:val="44"/>
              <w:spacing w:before="65" w:after="32"/>
              <w:rPr>
                <w:bCs w:val="0"/>
                <w:color w:val="auto"/>
              </w:rPr>
            </w:pPr>
            <w:r>
              <w:rPr>
                <w:rFonts w:hint="eastAsia"/>
                <w:bCs w:val="0"/>
                <w:color w:val="auto"/>
              </w:rPr>
              <w:t>2</w:t>
            </w:r>
            <w:r>
              <w:rPr>
                <w:bCs w:val="0"/>
                <w:color w:val="auto"/>
              </w:rPr>
              <w:t>.88</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211308002</w:t>
            </w:r>
          </w:p>
        </w:tc>
        <w:tc>
          <w:tcPr>
            <w:tcW w:w="391" w:type="pct"/>
            <w:vAlign w:val="center"/>
          </w:tcPr>
          <w:p>
            <w:pPr>
              <w:pStyle w:val="44"/>
              <w:spacing w:before="65" w:after="32"/>
              <w:rPr>
                <w:bCs w:val="0"/>
                <w:color w:val="auto"/>
              </w:rPr>
            </w:pPr>
            <w:r>
              <w:rPr>
                <w:rFonts w:hint="eastAsia"/>
                <w:bCs w:val="0"/>
                <w:color w:val="auto"/>
              </w:rPr>
              <w:t>1</w:t>
            </w:r>
            <w:r>
              <w:rPr>
                <w:bCs w:val="0"/>
                <w:color w:val="auto"/>
              </w:rPr>
              <w:t>4</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.32</w:t>
            </w:r>
          </w:p>
        </w:tc>
        <w:tc>
          <w:tcPr>
            <w:tcW w:w="350" w:type="pct"/>
            <w:shd w:val="clear" w:color="auto" w:fill="auto"/>
            <w:vAlign w:val="center"/>
          </w:tcPr>
          <w:p>
            <w:pPr>
              <w:pStyle w:val="44"/>
              <w:spacing w:before="65" w:after="32"/>
              <w:rPr>
                <w:bCs w:val="0"/>
                <w:color w:val="auto"/>
              </w:rPr>
            </w:pPr>
            <w:r>
              <w:rPr>
                <w:bCs w:val="0"/>
                <w:color w:val="auto"/>
              </w:rPr>
              <w:t>210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60</w:t>
            </w:r>
          </w:p>
        </w:tc>
        <w:tc>
          <w:tcPr>
            <w:tcW w:w="382" w:type="pct"/>
            <w:shd w:val="clear" w:color="auto" w:fill="auto"/>
            <w:vAlign w:val="center"/>
          </w:tcPr>
          <w:p>
            <w:pPr>
              <w:pStyle w:val="44"/>
              <w:spacing w:before="65" w:after="32"/>
              <w:rPr>
                <w:bCs w:val="0"/>
                <w:color w:val="auto"/>
              </w:rPr>
            </w:pPr>
            <w:r>
              <w:rPr>
                <w:rFonts w:hint="eastAsia"/>
                <w:bCs w:val="0"/>
                <w:color w:val="auto"/>
              </w:rPr>
              <w:t>2</w:t>
            </w:r>
            <w:r>
              <w:rPr>
                <w:bCs w:val="0"/>
                <w:color w:val="auto"/>
              </w:rPr>
              <w:t>.40×10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170</w:t>
            </w:r>
          </w:p>
        </w:tc>
        <w:tc>
          <w:tcPr>
            <w:tcW w:w="305" w:type="pct"/>
            <w:shd w:val="clear" w:color="auto" w:fill="auto"/>
            <w:vAlign w:val="center"/>
          </w:tcPr>
          <w:p>
            <w:pPr>
              <w:pStyle w:val="44"/>
              <w:spacing w:before="65" w:after="32"/>
              <w:rPr>
                <w:bCs w:val="0"/>
                <w:color w:val="auto"/>
              </w:rPr>
            </w:pPr>
            <w:r>
              <w:rPr>
                <w:rFonts w:hint="eastAsia"/>
                <w:bCs w:val="0"/>
                <w:color w:val="auto"/>
              </w:rPr>
              <w:t>2</w:t>
            </w:r>
            <w:r>
              <w:rPr>
                <w:bCs w:val="0"/>
                <w:color w:val="auto"/>
              </w:rPr>
              <w:t>.95</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211308003</w:t>
            </w:r>
          </w:p>
        </w:tc>
        <w:tc>
          <w:tcPr>
            <w:tcW w:w="391" w:type="pct"/>
            <w:vAlign w:val="center"/>
          </w:tcPr>
          <w:p>
            <w:pPr>
              <w:pStyle w:val="44"/>
              <w:spacing w:before="65" w:after="32"/>
              <w:rPr>
                <w:bCs w:val="0"/>
                <w:color w:val="auto"/>
              </w:rPr>
            </w:pPr>
            <w:r>
              <w:rPr>
                <w:rFonts w:hint="eastAsia"/>
                <w:bCs w:val="0"/>
                <w:color w:val="auto"/>
              </w:rPr>
              <w:t>1</w:t>
            </w:r>
            <w:r>
              <w:rPr>
                <w:bCs w:val="0"/>
                <w:color w:val="auto"/>
              </w:rPr>
              <w:t>5</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.31</w:t>
            </w:r>
          </w:p>
        </w:tc>
        <w:tc>
          <w:tcPr>
            <w:tcW w:w="350" w:type="pct"/>
            <w:shd w:val="clear" w:color="auto" w:fill="auto"/>
            <w:vAlign w:val="center"/>
          </w:tcPr>
          <w:p>
            <w:pPr>
              <w:pStyle w:val="44"/>
              <w:spacing w:before="65" w:after="32"/>
              <w:rPr>
                <w:bCs w:val="0"/>
                <w:color w:val="auto"/>
              </w:rPr>
            </w:pPr>
            <w:r>
              <w:rPr>
                <w:bCs w:val="0"/>
                <w:color w:val="auto"/>
              </w:rPr>
              <w:t>210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20</w:t>
            </w:r>
          </w:p>
        </w:tc>
        <w:tc>
          <w:tcPr>
            <w:tcW w:w="382" w:type="pct"/>
            <w:shd w:val="clear" w:color="auto" w:fill="auto"/>
            <w:vAlign w:val="center"/>
          </w:tcPr>
          <w:p>
            <w:pPr>
              <w:pStyle w:val="44"/>
              <w:spacing w:before="65" w:after="32"/>
              <w:rPr>
                <w:bCs w:val="0"/>
                <w:color w:val="auto"/>
              </w:rPr>
            </w:pPr>
            <w:r>
              <w:rPr>
                <w:bCs w:val="0"/>
                <w:color w:val="auto"/>
              </w:rPr>
              <w:t>2.45×10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169</w:t>
            </w:r>
          </w:p>
        </w:tc>
        <w:tc>
          <w:tcPr>
            <w:tcW w:w="305" w:type="pct"/>
            <w:shd w:val="clear" w:color="auto" w:fill="auto"/>
            <w:vAlign w:val="center"/>
          </w:tcPr>
          <w:p>
            <w:pPr>
              <w:pStyle w:val="44"/>
              <w:spacing w:before="65" w:after="32"/>
              <w:rPr>
                <w:bCs w:val="0"/>
                <w:color w:val="auto"/>
              </w:rPr>
            </w:pPr>
            <w:r>
              <w:rPr>
                <w:rFonts w:hint="eastAsia"/>
                <w:bCs w:val="0"/>
                <w:color w:val="auto"/>
              </w:rPr>
              <w:t>3</w:t>
            </w:r>
            <w:r>
              <w:rPr>
                <w:bCs w:val="0"/>
                <w:color w:val="auto"/>
              </w:rPr>
              <w:t>.02</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211308004</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.28</w:t>
            </w:r>
          </w:p>
        </w:tc>
        <w:tc>
          <w:tcPr>
            <w:tcW w:w="350" w:type="pct"/>
            <w:shd w:val="clear" w:color="auto" w:fill="auto"/>
            <w:vAlign w:val="center"/>
          </w:tcPr>
          <w:p>
            <w:pPr>
              <w:pStyle w:val="44"/>
              <w:spacing w:before="65" w:after="32"/>
              <w:rPr>
                <w:bCs w:val="0"/>
                <w:color w:val="auto"/>
              </w:rPr>
            </w:pPr>
            <w:r>
              <w:rPr>
                <w:bCs w:val="0"/>
                <w:color w:val="auto"/>
              </w:rPr>
              <w:t>200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80</w:t>
            </w:r>
          </w:p>
        </w:tc>
        <w:tc>
          <w:tcPr>
            <w:tcW w:w="382" w:type="pct"/>
            <w:shd w:val="clear" w:color="auto" w:fill="auto"/>
            <w:vAlign w:val="center"/>
          </w:tcPr>
          <w:p>
            <w:pPr>
              <w:pStyle w:val="44"/>
              <w:spacing w:before="65" w:after="32"/>
              <w:rPr>
                <w:bCs w:val="0"/>
                <w:color w:val="auto"/>
              </w:rPr>
            </w:pPr>
            <w:r>
              <w:rPr>
                <w:bCs w:val="0"/>
                <w:color w:val="auto"/>
              </w:rPr>
              <w:t>2.43×10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170</w:t>
            </w:r>
          </w:p>
        </w:tc>
        <w:tc>
          <w:tcPr>
            <w:tcW w:w="305" w:type="pct"/>
            <w:shd w:val="clear" w:color="auto" w:fill="auto"/>
            <w:vAlign w:val="center"/>
          </w:tcPr>
          <w:p>
            <w:pPr>
              <w:pStyle w:val="44"/>
              <w:spacing w:before="65" w:after="32"/>
              <w:rPr>
                <w:bCs w:val="0"/>
                <w:color w:val="auto"/>
              </w:rPr>
            </w:pPr>
            <w:r>
              <w:rPr>
                <w:rFonts w:hint="eastAsia"/>
                <w:bCs w:val="0"/>
                <w:color w:val="auto"/>
              </w:rPr>
              <w:t>2</w:t>
            </w:r>
            <w:r>
              <w:rPr>
                <w:bCs w:val="0"/>
                <w:color w:val="auto"/>
              </w:rPr>
              <w:t>.81</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line="240" w:lineRule="atLeast"/>
              <w:rPr>
                <w:bCs w:val="0"/>
                <w:color w:val="auto"/>
              </w:rPr>
            </w:pPr>
            <w:r>
              <w:rPr>
                <w:rFonts w:hint="eastAsia"/>
                <w:bCs w:val="0"/>
                <w:color w:val="auto"/>
              </w:rPr>
              <w:t>水2</w:t>
            </w:r>
            <w:r>
              <w:rPr>
                <w:bCs w:val="0"/>
                <w:color w:val="auto"/>
              </w:rPr>
              <w:t>211308004</w:t>
            </w:r>
          </w:p>
          <w:p>
            <w:pPr>
              <w:pStyle w:val="44"/>
              <w:spacing w:before="65" w:after="32" w:line="200" w:lineRule="exact"/>
              <w:rPr>
                <w:bCs w:val="0"/>
                <w:color w:val="auto"/>
              </w:rPr>
            </w:pPr>
            <w:r>
              <w:rPr>
                <w:rFonts w:hint="eastAsia"/>
                <w:bCs w:val="0"/>
                <w:color w:val="auto"/>
              </w:rPr>
              <w:t>（平行）</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:0</w:t>
            </w:r>
            <w:r>
              <w:rPr>
                <w:bCs w:val="0"/>
                <w:color w:val="auto"/>
              </w:rPr>
              <w:t>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.28</w:t>
            </w:r>
          </w:p>
        </w:tc>
        <w:tc>
          <w:tcPr>
            <w:tcW w:w="350" w:type="pct"/>
            <w:shd w:val="clear" w:color="auto" w:fill="auto"/>
            <w:vAlign w:val="center"/>
          </w:tcPr>
          <w:p>
            <w:pPr>
              <w:pStyle w:val="44"/>
              <w:spacing w:before="65" w:after="32"/>
              <w:rPr>
                <w:bCs w:val="0"/>
                <w:color w:val="auto"/>
              </w:rPr>
            </w:pPr>
            <w:r>
              <w:rPr>
                <w:bCs w:val="0"/>
                <w:color w:val="auto"/>
              </w:rPr>
              <w:t>195</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20</w:t>
            </w:r>
          </w:p>
        </w:tc>
        <w:tc>
          <w:tcPr>
            <w:tcW w:w="382" w:type="pct"/>
            <w:shd w:val="clear" w:color="auto" w:fill="auto"/>
            <w:vAlign w:val="center"/>
          </w:tcPr>
          <w:p>
            <w:pPr>
              <w:pStyle w:val="44"/>
              <w:spacing w:before="65" w:after="32"/>
              <w:rPr>
                <w:bCs w:val="0"/>
                <w:color w:val="auto"/>
              </w:rPr>
            </w:pPr>
            <w:r>
              <w:rPr>
                <w:bCs w:val="0"/>
                <w:color w:val="auto"/>
              </w:rPr>
              <w:t>2.42×10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rFonts w:hint="eastAsia"/>
                <w:bCs w:val="0"/>
                <w:color w:val="auto"/>
              </w:rPr>
              <w:t>1</w:t>
            </w:r>
            <w:r>
              <w:rPr>
                <w:bCs w:val="0"/>
                <w:color w:val="auto"/>
              </w:rPr>
              <w:t>70</w:t>
            </w:r>
          </w:p>
        </w:tc>
        <w:tc>
          <w:tcPr>
            <w:tcW w:w="305" w:type="pct"/>
            <w:shd w:val="clear" w:color="auto" w:fill="auto"/>
            <w:vAlign w:val="center"/>
          </w:tcPr>
          <w:p>
            <w:pPr>
              <w:pStyle w:val="44"/>
              <w:spacing w:before="65" w:after="32"/>
              <w:rPr>
                <w:bCs w:val="0"/>
                <w:color w:val="auto"/>
              </w:rPr>
            </w:pPr>
            <w:r>
              <w:rPr>
                <w:rFonts w:hint="eastAsia"/>
                <w:bCs w:val="0"/>
                <w:color w:val="auto"/>
              </w:rPr>
              <w:t>3</w:t>
            </w:r>
            <w:r>
              <w:rPr>
                <w:bCs w:val="0"/>
                <w:color w:val="auto"/>
              </w:rPr>
              <w:t>.16</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1524" w:type="pct"/>
            <w:gridSpan w:val="3"/>
            <w:vAlign w:val="center"/>
          </w:tcPr>
          <w:p>
            <w:pPr>
              <w:pStyle w:val="44"/>
              <w:spacing w:before="65" w:after="32"/>
              <w:rPr>
                <w:bCs w:val="0"/>
                <w:color w:val="auto"/>
              </w:rPr>
            </w:pPr>
            <w:r>
              <w:rPr>
                <w:rFonts w:hint="eastAsia"/>
                <w:bCs w:val="0"/>
                <w:color w:val="auto"/>
              </w:rPr>
              <w:t>日均值</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.28</w:t>
            </w:r>
            <w:r>
              <w:rPr>
                <w:rFonts w:eastAsia="宋体"/>
                <w:bCs w:val="0"/>
                <w:color w:val="auto"/>
              </w:rPr>
              <w:t>~</w:t>
            </w:r>
            <w:r>
              <w:rPr>
                <w:bCs w:val="0"/>
                <w:color w:val="auto"/>
              </w:rPr>
              <w:t>8.32</w:t>
            </w:r>
          </w:p>
        </w:tc>
        <w:tc>
          <w:tcPr>
            <w:tcW w:w="350" w:type="pct"/>
            <w:shd w:val="clear" w:color="auto" w:fill="auto"/>
            <w:vAlign w:val="center"/>
          </w:tcPr>
          <w:p>
            <w:pPr>
              <w:pStyle w:val="44"/>
              <w:spacing w:before="65" w:after="32"/>
              <w:rPr>
                <w:bCs w:val="0"/>
                <w:color w:val="auto"/>
              </w:rPr>
            </w:pPr>
            <w:r>
              <w:rPr>
                <w:rFonts w:hint="eastAsia"/>
                <w:bCs w:val="0"/>
                <w:color w:val="auto"/>
              </w:rPr>
              <w:t>2</w:t>
            </w:r>
            <w:r>
              <w:rPr>
                <w:bCs w:val="0"/>
                <w:color w:val="auto"/>
              </w:rPr>
              <w:t>03</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48</w:t>
            </w:r>
          </w:p>
        </w:tc>
        <w:tc>
          <w:tcPr>
            <w:tcW w:w="382" w:type="pct"/>
            <w:shd w:val="clear" w:color="auto" w:fill="auto"/>
            <w:vAlign w:val="center"/>
          </w:tcPr>
          <w:p>
            <w:pPr>
              <w:pStyle w:val="44"/>
              <w:spacing w:before="65" w:after="32"/>
              <w:rPr>
                <w:bCs w:val="0"/>
                <w:color w:val="auto"/>
              </w:rPr>
            </w:pPr>
            <w:r>
              <w:rPr>
                <w:rFonts w:hint="eastAsia"/>
                <w:bCs w:val="0"/>
                <w:color w:val="auto"/>
              </w:rPr>
              <w:t>2</w:t>
            </w:r>
            <w:r>
              <w:rPr>
                <w:bCs w:val="0"/>
                <w:color w:val="auto"/>
              </w:rPr>
              <w:t>.416×10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rFonts w:hint="eastAsia"/>
                <w:bCs w:val="0"/>
                <w:color w:val="auto"/>
              </w:rPr>
              <w:t>1</w:t>
            </w:r>
            <w:r>
              <w:rPr>
                <w:bCs w:val="0"/>
                <w:color w:val="auto"/>
              </w:rPr>
              <w:t>69.6</w:t>
            </w:r>
          </w:p>
        </w:tc>
        <w:tc>
          <w:tcPr>
            <w:tcW w:w="305" w:type="pct"/>
            <w:shd w:val="clear" w:color="auto" w:fill="auto"/>
            <w:vAlign w:val="center"/>
          </w:tcPr>
          <w:p>
            <w:pPr>
              <w:pStyle w:val="44"/>
              <w:spacing w:before="65" w:after="32"/>
              <w:rPr>
                <w:bCs w:val="0"/>
                <w:color w:val="auto"/>
              </w:rPr>
            </w:pPr>
            <w:r>
              <w:rPr>
                <w:rFonts w:hint="eastAsia"/>
                <w:bCs w:val="0"/>
                <w:color w:val="auto"/>
              </w:rPr>
              <w:t>2</w:t>
            </w:r>
            <w:r>
              <w:rPr>
                <w:bCs w:val="0"/>
                <w:color w:val="auto"/>
              </w:rPr>
              <w:t>.96</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restart"/>
            <w:vAlign w:val="center"/>
          </w:tcPr>
          <w:p>
            <w:pPr>
              <w:pStyle w:val="44"/>
              <w:spacing w:before="65" w:after="32"/>
              <w:rPr>
                <w:bCs w:val="0"/>
                <w:color w:val="auto"/>
              </w:rPr>
            </w:pPr>
            <w:r>
              <w:rPr>
                <w:rFonts w:hint="eastAsia"/>
                <w:bCs w:val="0"/>
                <w:color w:val="auto"/>
              </w:rPr>
              <w:t>A</w:t>
            </w:r>
            <w:r>
              <w:rPr>
                <w:bCs w:val="0"/>
                <w:color w:val="auto"/>
              </w:rPr>
              <w:t>O池进口</w:t>
            </w: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211308005</w:t>
            </w:r>
          </w:p>
        </w:tc>
        <w:tc>
          <w:tcPr>
            <w:tcW w:w="391" w:type="pct"/>
            <w:vAlign w:val="center"/>
          </w:tcPr>
          <w:p>
            <w:pPr>
              <w:pStyle w:val="44"/>
              <w:spacing w:before="65" w:after="32"/>
              <w:rPr>
                <w:bCs w:val="0"/>
                <w:color w:val="auto"/>
              </w:rPr>
            </w:pPr>
            <w:r>
              <w:rPr>
                <w:rFonts w:hint="eastAsia"/>
                <w:bCs w:val="0"/>
                <w:color w:val="auto"/>
              </w:rPr>
              <w:t>13:10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.24</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166</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780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1.97</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139</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2.22</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211308006</w:t>
            </w:r>
          </w:p>
        </w:tc>
        <w:tc>
          <w:tcPr>
            <w:tcW w:w="391" w:type="pct"/>
            <w:vAlign w:val="center"/>
          </w:tcPr>
          <w:p>
            <w:pPr>
              <w:pStyle w:val="44"/>
              <w:spacing w:before="65" w:after="32"/>
              <w:rPr>
                <w:bCs w:val="0"/>
                <w:color w:val="auto"/>
              </w:rPr>
            </w:pPr>
            <w:r>
              <w:rPr>
                <w:rFonts w:hint="eastAsia"/>
                <w:bCs w:val="0"/>
                <w:color w:val="auto"/>
              </w:rPr>
              <w:t>1</w:t>
            </w:r>
            <w:r>
              <w:rPr>
                <w:bCs w:val="0"/>
                <w:color w:val="auto"/>
              </w:rPr>
              <w:t>4</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.22</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145</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800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1.99</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139</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2.36</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211308007</w:t>
            </w:r>
          </w:p>
        </w:tc>
        <w:tc>
          <w:tcPr>
            <w:tcW w:w="391" w:type="pct"/>
            <w:vAlign w:val="center"/>
          </w:tcPr>
          <w:p>
            <w:pPr>
              <w:pStyle w:val="44"/>
              <w:spacing w:before="65" w:after="32"/>
              <w:rPr>
                <w:bCs w:val="0"/>
                <w:color w:val="auto"/>
              </w:rPr>
            </w:pPr>
            <w:r>
              <w:rPr>
                <w:rFonts w:hint="eastAsia"/>
                <w:bCs w:val="0"/>
                <w:color w:val="auto"/>
              </w:rPr>
              <w:t>1</w:t>
            </w:r>
            <w:r>
              <w:rPr>
                <w:bCs w:val="0"/>
                <w:color w:val="auto"/>
              </w:rPr>
              <w:t>5</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.20</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150</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760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2.04</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140</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2.27</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211308008</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.21</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155</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800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2.01</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140</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2.15</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line="240" w:lineRule="atLeast"/>
              <w:rPr>
                <w:bCs w:val="0"/>
                <w:color w:val="auto"/>
              </w:rPr>
            </w:pPr>
            <w:r>
              <w:rPr>
                <w:rFonts w:hint="eastAsia"/>
                <w:bCs w:val="0"/>
                <w:color w:val="auto"/>
              </w:rPr>
              <w:t>水2</w:t>
            </w:r>
            <w:r>
              <w:rPr>
                <w:bCs w:val="0"/>
                <w:color w:val="auto"/>
              </w:rPr>
              <w:t>211308008</w:t>
            </w:r>
          </w:p>
          <w:p>
            <w:pPr>
              <w:pStyle w:val="44"/>
              <w:spacing w:before="65" w:after="32" w:line="200" w:lineRule="exact"/>
              <w:rPr>
                <w:bCs w:val="0"/>
                <w:color w:val="auto"/>
              </w:rPr>
            </w:pPr>
            <w:r>
              <w:rPr>
                <w:rFonts w:hint="eastAsia"/>
                <w:bCs w:val="0"/>
                <w:color w:val="auto"/>
              </w:rPr>
              <w:t>（平行）</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:1</w:t>
            </w:r>
            <w:r>
              <w:rPr>
                <w:bCs w:val="0"/>
                <w:color w:val="auto"/>
              </w:rPr>
              <w:t>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.21</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150</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760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2.01</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140</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2.29</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1524" w:type="pct"/>
            <w:gridSpan w:val="3"/>
            <w:vAlign w:val="center"/>
          </w:tcPr>
          <w:p>
            <w:pPr>
              <w:pStyle w:val="44"/>
              <w:spacing w:before="65" w:after="32"/>
              <w:rPr>
                <w:bCs w:val="0"/>
                <w:color w:val="auto"/>
              </w:rPr>
            </w:pPr>
            <w:r>
              <w:rPr>
                <w:rFonts w:hint="eastAsia"/>
                <w:bCs w:val="0"/>
                <w:color w:val="auto"/>
              </w:rPr>
              <w:t>日均值</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.20</w:t>
            </w:r>
            <w:r>
              <w:rPr>
                <w:rFonts w:eastAsia="宋体"/>
                <w:bCs w:val="0"/>
                <w:color w:val="auto"/>
              </w:rPr>
              <w:t>~</w:t>
            </w:r>
            <w:r>
              <w:rPr>
                <w:bCs w:val="0"/>
                <w:color w:val="auto"/>
              </w:rPr>
              <w:t>7.24</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153.2</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780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2.0</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139.6</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2.26</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restart"/>
            <w:vAlign w:val="center"/>
          </w:tcPr>
          <w:p>
            <w:pPr>
              <w:pStyle w:val="44"/>
              <w:spacing w:before="65" w:after="32"/>
              <w:rPr>
                <w:b/>
                <w:bCs w:val="0"/>
                <w:color w:val="auto"/>
              </w:rPr>
            </w:pPr>
            <w:r>
              <w:rPr>
                <w:rFonts w:hint="eastAsia"/>
                <w:bCs w:val="0"/>
                <w:color w:val="auto"/>
              </w:rPr>
              <w:t>废水总排口</w:t>
            </w:r>
          </w:p>
        </w:tc>
        <w:tc>
          <w:tcPr>
            <w:tcW w:w="640" w:type="pct"/>
            <w:vAlign w:val="center"/>
          </w:tcPr>
          <w:p>
            <w:pPr>
              <w:pStyle w:val="44"/>
              <w:spacing w:before="65" w:after="32"/>
              <w:rPr>
                <w:b/>
                <w:bCs w:val="0"/>
                <w:color w:val="auto"/>
              </w:rPr>
            </w:pPr>
            <w:r>
              <w:rPr>
                <w:rFonts w:hint="eastAsia"/>
                <w:bCs w:val="0"/>
                <w:color w:val="auto"/>
              </w:rPr>
              <w:t>水</w:t>
            </w:r>
            <w:r>
              <w:rPr>
                <w:bCs w:val="0"/>
                <w:color w:val="auto"/>
              </w:rPr>
              <w:t>2211308009</w:t>
            </w:r>
          </w:p>
        </w:tc>
        <w:tc>
          <w:tcPr>
            <w:tcW w:w="391" w:type="pct"/>
            <w:vAlign w:val="center"/>
          </w:tcPr>
          <w:p>
            <w:pPr>
              <w:pStyle w:val="44"/>
              <w:spacing w:before="65" w:after="32"/>
              <w:rPr>
                <w:b/>
                <w:bCs w:val="0"/>
                <w:color w:val="auto"/>
              </w:rPr>
            </w:pPr>
            <w:r>
              <w:rPr>
                <w:bCs w:val="0"/>
                <w:color w:val="auto"/>
              </w:rPr>
              <w:t>13</w:t>
            </w:r>
            <w:r>
              <w:rPr>
                <w:rFonts w:hint="eastAsia"/>
                <w:bCs w:val="0"/>
                <w:color w:val="auto"/>
              </w:rPr>
              <w:t>:</w:t>
            </w:r>
            <w:r>
              <w:rPr>
                <w:bCs w:val="0"/>
                <w:color w:val="auto"/>
              </w:rPr>
              <w:t>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.70</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32</w:t>
            </w:r>
          </w:p>
        </w:tc>
        <w:tc>
          <w:tcPr>
            <w:tcW w:w="448" w:type="pct"/>
            <w:shd w:val="clear" w:color="auto" w:fill="auto"/>
            <w:vAlign w:val="center"/>
          </w:tcPr>
          <w:p>
            <w:pPr>
              <w:pStyle w:val="44"/>
              <w:spacing w:before="65" w:after="32"/>
              <w:rPr>
                <w:bCs w:val="0"/>
              </w:rPr>
            </w:pPr>
            <w:r>
              <w:rPr>
                <w:bCs w:val="0"/>
              </w:rPr>
              <w:t>37.2</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121</w:t>
            </w:r>
          </w:p>
        </w:tc>
        <w:tc>
          <w:tcPr>
            <w:tcW w:w="399" w:type="pct"/>
            <w:shd w:val="clear" w:color="auto" w:fill="auto"/>
            <w:vAlign w:val="center"/>
          </w:tcPr>
          <w:p>
            <w:pPr>
              <w:pStyle w:val="44"/>
              <w:spacing w:before="65" w:after="32"/>
              <w:rPr>
                <w:bCs w:val="0"/>
              </w:rPr>
            </w:pPr>
            <w:r>
              <w:rPr>
                <w:bCs w:val="0"/>
              </w:rPr>
              <w:t>18.2</w:t>
            </w:r>
          </w:p>
        </w:tc>
        <w:tc>
          <w:tcPr>
            <w:tcW w:w="305" w:type="pct"/>
            <w:shd w:val="clear" w:color="auto" w:fill="auto"/>
            <w:vAlign w:val="center"/>
          </w:tcPr>
          <w:p>
            <w:pPr>
              <w:pStyle w:val="44"/>
              <w:spacing w:before="65" w:after="32"/>
              <w:rPr>
                <w:bCs w:val="0"/>
              </w:rPr>
            </w:pPr>
            <w:r>
              <w:rPr>
                <w:rFonts w:hint="eastAsia"/>
                <w:bCs w:val="0"/>
              </w:rPr>
              <w:t>0</w:t>
            </w:r>
            <w:r>
              <w:rPr>
                <w:bCs w:val="0"/>
              </w:rPr>
              <w:t>.90</w:t>
            </w:r>
          </w:p>
        </w:tc>
        <w:tc>
          <w:tcPr>
            <w:tcW w:w="310" w:type="pct"/>
            <w:shd w:val="clear" w:color="auto" w:fill="auto"/>
            <w:vAlign w:val="center"/>
          </w:tcPr>
          <w:p>
            <w:pPr>
              <w:pStyle w:val="44"/>
              <w:spacing w:before="65" w:after="32"/>
              <w:rPr>
                <w:bCs w:val="0"/>
              </w:rPr>
            </w:pPr>
            <w:r>
              <w:rPr>
                <w:rFonts w:hint="eastAsia"/>
                <w:bCs w:val="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
                <w:bCs w:val="0"/>
                <w:color w:val="auto"/>
              </w:rPr>
            </w:pPr>
            <w:r>
              <w:rPr>
                <w:rFonts w:hint="eastAsia"/>
                <w:bCs w:val="0"/>
                <w:color w:val="auto"/>
              </w:rPr>
              <w:t>水</w:t>
            </w:r>
            <w:r>
              <w:rPr>
                <w:bCs w:val="0"/>
                <w:color w:val="auto"/>
              </w:rPr>
              <w:t>2211308010</w:t>
            </w:r>
          </w:p>
        </w:tc>
        <w:tc>
          <w:tcPr>
            <w:tcW w:w="391" w:type="pct"/>
            <w:vAlign w:val="center"/>
          </w:tcPr>
          <w:p>
            <w:pPr>
              <w:pStyle w:val="44"/>
              <w:spacing w:before="65" w:after="32"/>
              <w:rPr>
                <w:b/>
                <w:bCs w:val="0"/>
                <w:color w:val="auto"/>
              </w:rPr>
            </w:pPr>
            <w:r>
              <w:rPr>
                <w:bCs w:val="0"/>
                <w:color w:val="auto"/>
              </w:rPr>
              <w:t>14</w:t>
            </w:r>
            <w:r>
              <w:rPr>
                <w:rFonts w:hint="eastAsia"/>
                <w:bCs w:val="0"/>
                <w:color w:val="auto"/>
              </w:rPr>
              <w:t>:</w:t>
            </w:r>
            <w:r>
              <w:rPr>
                <w:bCs w:val="0"/>
                <w:color w:val="auto"/>
              </w:rPr>
              <w:t>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bCs w:val="0"/>
                <w:color w:val="auto"/>
              </w:rPr>
              <w:t>6.68</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30</w:t>
            </w:r>
          </w:p>
        </w:tc>
        <w:tc>
          <w:tcPr>
            <w:tcW w:w="448" w:type="pct"/>
            <w:shd w:val="clear" w:color="auto" w:fill="auto"/>
            <w:vAlign w:val="center"/>
          </w:tcPr>
          <w:p>
            <w:pPr>
              <w:pStyle w:val="44"/>
              <w:spacing w:before="65" w:after="32"/>
              <w:rPr>
                <w:bCs w:val="0"/>
              </w:rPr>
            </w:pPr>
            <w:r>
              <w:rPr>
                <w:bCs w:val="0"/>
              </w:rPr>
              <w:t>35.7</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120</w:t>
            </w:r>
          </w:p>
        </w:tc>
        <w:tc>
          <w:tcPr>
            <w:tcW w:w="399" w:type="pct"/>
            <w:shd w:val="clear" w:color="auto" w:fill="auto"/>
            <w:vAlign w:val="center"/>
          </w:tcPr>
          <w:p>
            <w:pPr>
              <w:pStyle w:val="44"/>
              <w:spacing w:before="65" w:after="32"/>
              <w:rPr>
                <w:bCs w:val="0"/>
              </w:rPr>
            </w:pPr>
            <w:r>
              <w:rPr>
                <w:bCs w:val="0"/>
              </w:rPr>
              <w:t>18.6</w:t>
            </w:r>
          </w:p>
        </w:tc>
        <w:tc>
          <w:tcPr>
            <w:tcW w:w="305" w:type="pct"/>
            <w:shd w:val="clear" w:color="auto" w:fill="auto"/>
            <w:vAlign w:val="center"/>
          </w:tcPr>
          <w:p>
            <w:pPr>
              <w:pStyle w:val="44"/>
              <w:spacing w:before="65" w:after="32"/>
              <w:rPr>
                <w:bCs w:val="0"/>
              </w:rPr>
            </w:pPr>
            <w:r>
              <w:rPr>
                <w:bCs w:val="0"/>
              </w:rPr>
              <w:t>0.92</w:t>
            </w:r>
          </w:p>
        </w:tc>
        <w:tc>
          <w:tcPr>
            <w:tcW w:w="310" w:type="pct"/>
            <w:shd w:val="clear" w:color="auto" w:fill="auto"/>
            <w:vAlign w:val="center"/>
          </w:tcPr>
          <w:p>
            <w:pPr>
              <w:pStyle w:val="44"/>
              <w:spacing w:before="65" w:after="32"/>
              <w:rPr>
                <w:bCs w:val="0"/>
              </w:rPr>
            </w:pPr>
            <w:r>
              <w:rPr>
                <w:rFonts w:hint="eastAsia"/>
                <w:bCs w:val="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
                <w:bCs w:val="0"/>
                <w:color w:val="auto"/>
              </w:rPr>
            </w:pPr>
            <w:r>
              <w:rPr>
                <w:rFonts w:hint="eastAsia"/>
                <w:bCs w:val="0"/>
                <w:color w:val="auto"/>
              </w:rPr>
              <w:t>水</w:t>
            </w:r>
            <w:r>
              <w:rPr>
                <w:bCs w:val="0"/>
                <w:color w:val="auto"/>
              </w:rPr>
              <w:t>2211308011</w:t>
            </w:r>
          </w:p>
        </w:tc>
        <w:tc>
          <w:tcPr>
            <w:tcW w:w="391" w:type="pct"/>
            <w:vAlign w:val="center"/>
          </w:tcPr>
          <w:p>
            <w:pPr>
              <w:pStyle w:val="44"/>
              <w:spacing w:before="65" w:after="32"/>
              <w:rPr>
                <w:b/>
                <w:bCs w:val="0"/>
                <w:color w:val="auto"/>
              </w:rPr>
            </w:pPr>
            <w:r>
              <w:rPr>
                <w:bCs w:val="0"/>
                <w:color w:val="auto"/>
              </w:rPr>
              <w:t>15</w:t>
            </w:r>
            <w:r>
              <w:rPr>
                <w:rFonts w:hint="eastAsia"/>
                <w:bCs w:val="0"/>
                <w:color w:val="auto"/>
              </w:rPr>
              <w:t>:</w:t>
            </w:r>
            <w:r>
              <w:rPr>
                <w:bCs w:val="0"/>
                <w:color w:val="auto"/>
              </w:rPr>
              <w:t>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bCs w:val="0"/>
                <w:color w:val="auto"/>
              </w:rPr>
              <w:t>6.67</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30</w:t>
            </w:r>
          </w:p>
        </w:tc>
        <w:tc>
          <w:tcPr>
            <w:tcW w:w="448" w:type="pct"/>
            <w:shd w:val="clear" w:color="auto" w:fill="auto"/>
            <w:vAlign w:val="center"/>
          </w:tcPr>
          <w:p>
            <w:pPr>
              <w:pStyle w:val="44"/>
              <w:spacing w:before="65" w:after="32"/>
              <w:rPr>
                <w:bCs w:val="0"/>
              </w:rPr>
            </w:pPr>
            <w:r>
              <w:rPr>
                <w:bCs w:val="0"/>
              </w:rPr>
              <w:t>36.7</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124</w:t>
            </w:r>
          </w:p>
        </w:tc>
        <w:tc>
          <w:tcPr>
            <w:tcW w:w="399" w:type="pct"/>
            <w:shd w:val="clear" w:color="auto" w:fill="auto"/>
            <w:vAlign w:val="center"/>
          </w:tcPr>
          <w:p>
            <w:pPr>
              <w:pStyle w:val="44"/>
              <w:spacing w:before="65" w:after="32"/>
              <w:rPr>
                <w:bCs w:val="0"/>
              </w:rPr>
            </w:pPr>
            <w:r>
              <w:rPr>
                <w:bCs w:val="0"/>
              </w:rPr>
              <w:t>18.5</w:t>
            </w:r>
          </w:p>
        </w:tc>
        <w:tc>
          <w:tcPr>
            <w:tcW w:w="305" w:type="pct"/>
            <w:shd w:val="clear" w:color="auto" w:fill="auto"/>
            <w:vAlign w:val="center"/>
          </w:tcPr>
          <w:p>
            <w:pPr>
              <w:pStyle w:val="44"/>
              <w:spacing w:before="65" w:after="32"/>
              <w:rPr>
                <w:bCs w:val="0"/>
              </w:rPr>
            </w:pPr>
            <w:r>
              <w:rPr>
                <w:rFonts w:hint="eastAsia"/>
                <w:bCs w:val="0"/>
              </w:rPr>
              <w:t>0</w:t>
            </w:r>
            <w:r>
              <w:rPr>
                <w:bCs w:val="0"/>
              </w:rPr>
              <w:t>.91</w:t>
            </w:r>
          </w:p>
        </w:tc>
        <w:tc>
          <w:tcPr>
            <w:tcW w:w="310" w:type="pct"/>
            <w:shd w:val="clear" w:color="auto" w:fill="auto"/>
            <w:vAlign w:val="center"/>
          </w:tcPr>
          <w:p>
            <w:pPr>
              <w:pStyle w:val="44"/>
              <w:spacing w:before="65" w:after="32"/>
              <w:rPr>
                <w:bCs w:val="0"/>
              </w:rPr>
            </w:pPr>
            <w:r>
              <w:rPr>
                <w:rFonts w:hint="eastAsia"/>
                <w:bCs w:val="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
                <w:bCs w:val="0"/>
                <w:color w:val="auto"/>
              </w:rPr>
            </w:pPr>
            <w:r>
              <w:rPr>
                <w:rFonts w:hint="eastAsia"/>
                <w:bCs w:val="0"/>
                <w:color w:val="auto"/>
              </w:rPr>
              <w:t>水</w:t>
            </w:r>
            <w:r>
              <w:rPr>
                <w:bCs w:val="0"/>
                <w:color w:val="auto"/>
              </w:rPr>
              <w:t>2211308012</w:t>
            </w:r>
          </w:p>
        </w:tc>
        <w:tc>
          <w:tcPr>
            <w:tcW w:w="391" w:type="pct"/>
            <w:vAlign w:val="center"/>
          </w:tcPr>
          <w:p>
            <w:pPr>
              <w:pStyle w:val="44"/>
              <w:spacing w:before="65" w:after="32"/>
              <w:rPr>
                <w:b/>
                <w:bCs w:val="0"/>
                <w:color w:val="auto"/>
              </w:rPr>
            </w:pPr>
            <w:r>
              <w:rPr>
                <w:bCs w:val="0"/>
                <w:color w:val="auto"/>
              </w:rPr>
              <w:t>16</w:t>
            </w:r>
            <w:r>
              <w:rPr>
                <w:rFonts w:hint="eastAsia"/>
                <w:bCs w:val="0"/>
                <w:color w:val="auto"/>
              </w:rPr>
              <w:t>:</w:t>
            </w:r>
            <w:r>
              <w:rPr>
                <w:bCs w:val="0"/>
                <w:color w:val="auto"/>
              </w:rPr>
              <w:t>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.71</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26</w:t>
            </w:r>
          </w:p>
        </w:tc>
        <w:tc>
          <w:tcPr>
            <w:tcW w:w="448" w:type="pct"/>
            <w:shd w:val="clear" w:color="auto" w:fill="auto"/>
            <w:vAlign w:val="center"/>
          </w:tcPr>
          <w:p>
            <w:pPr>
              <w:pStyle w:val="44"/>
              <w:spacing w:before="65" w:after="32"/>
              <w:rPr>
                <w:bCs w:val="0"/>
              </w:rPr>
            </w:pPr>
            <w:r>
              <w:rPr>
                <w:bCs w:val="0"/>
              </w:rPr>
              <w:t>37.2</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123</w:t>
            </w:r>
          </w:p>
        </w:tc>
        <w:tc>
          <w:tcPr>
            <w:tcW w:w="399" w:type="pct"/>
            <w:shd w:val="clear" w:color="auto" w:fill="auto"/>
            <w:vAlign w:val="center"/>
          </w:tcPr>
          <w:p>
            <w:pPr>
              <w:pStyle w:val="44"/>
              <w:spacing w:before="65" w:after="32"/>
              <w:rPr>
                <w:bCs w:val="0"/>
              </w:rPr>
            </w:pPr>
            <w:r>
              <w:rPr>
                <w:bCs w:val="0"/>
              </w:rPr>
              <w:t>18.4</w:t>
            </w:r>
          </w:p>
        </w:tc>
        <w:tc>
          <w:tcPr>
            <w:tcW w:w="305" w:type="pct"/>
            <w:shd w:val="clear" w:color="auto" w:fill="auto"/>
            <w:vAlign w:val="center"/>
          </w:tcPr>
          <w:p>
            <w:pPr>
              <w:pStyle w:val="44"/>
              <w:spacing w:before="65" w:after="32"/>
              <w:rPr>
                <w:bCs w:val="0"/>
              </w:rPr>
            </w:pPr>
            <w:r>
              <w:rPr>
                <w:rFonts w:hint="eastAsia"/>
                <w:bCs w:val="0"/>
              </w:rPr>
              <w:t>0</w:t>
            </w:r>
            <w:r>
              <w:rPr>
                <w:bCs w:val="0"/>
              </w:rPr>
              <w:t>.91</w:t>
            </w:r>
          </w:p>
        </w:tc>
        <w:tc>
          <w:tcPr>
            <w:tcW w:w="310" w:type="pct"/>
            <w:shd w:val="clear" w:color="auto" w:fill="auto"/>
            <w:vAlign w:val="center"/>
          </w:tcPr>
          <w:p>
            <w:pPr>
              <w:pStyle w:val="44"/>
              <w:spacing w:before="65" w:after="32"/>
              <w:rPr>
                <w:bCs w:val="0"/>
              </w:rPr>
            </w:pPr>
            <w:r>
              <w:rPr>
                <w:rFonts w:hint="eastAsia"/>
                <w:bCs w:val="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Cs w:val="0"/>
                <w:color w:val="auto"/>
              </w:rPr>
            </w:pPr>
            <w:r>
              <w:rPr>
                <w:rFonts w:hint="eastAsia"/>
                <w:bCs w:val="0"/>
                <w:color w:val="auto"/>
              </w:rPr>
              <w:t>水</w:t>
            </w:r>
            <w:r>
              <w:rPr>
                <w:bCs w:val="0"/>
                <w:color w:val="auto"/>
              </w:rPr>
              <w:t>2211308012</w:t>
            </w:r>
          </w:p>
          <w:p>
            <w:pPr>
              <w:pStyle w:val="44"/>
              <w:spacing w:before="65" w:after="32" w:line="200" w:lineRule="exact"/>
              <w:rPr>
                <w:b/>
                <w:bCs w:val="0"/>
                <w:color w:val="auto"/>
              </w:rPr>
            </w:pPr>
            <w:r>
              <w:rPr>
                <w:rFonts w:hint="eastAsia"/>
                <w:bCs w:val="0"/>
                <w:color w:val="auto"/>
              </w:rPr>
              <w:t>（平行）</w:t>
            </w:r>
          </w:p>
        </w:tc>
        <w:tc>
          <w:tcPr>
            <w:tcW w:w="391" w:type="pct"/>
            <w:vAlign w:val="center"/>
          </w:tcPr>
          <w:p>
            <w:pPr>
              <w:pStyle w:val="44"/>
              <w:spacing w:before="65" w:after="32"/>
              <w:rPr>
                <w:b/>
                <w:bCs w:val="0"/>
                <w:color w:val="auto"/>
              </w:rPr>
            </w:pPr>
            <w:r>
              <w:rPr>
                <w:bCs w:val="0"/>
                <w:color w:val="auto"/>
              </w:rPr>
              <w:t>16</w:t>
            </w:r>
            <w:r>
              <w:rPr>
                <w:rFonts w:hint="eastAsia"/>
                <w:bCs w:val="0"/>
                <w:color w:val="auto"/>
              </w:rPr>
              <w:t>:</w:t>
            </w:r>
            <w:r>
              <w:rPr>
                <w:bCs w:val="0"/>
                <w:color w:val="auto"/>
              </w:rPr>
              <w:t>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.71</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28</w:t>
            </w:r>
          </w:p>
        </w:tc>
        <w:tc>
          <w:tcPr>
            <w:tcW w:w="448" w:type="pct"/>
            <w:shd w:val="clear" w:color="auto" w:fill="auto"/>
            <w:vAlign w:val="center"/>
          </w:tcPr>
          <w:p>
            <w:pPr>
              <w:pStyle w:val="44"/>
              <w:spacing w:before="65" w:after="32"/>
              <w:rPr>
                <w:bCs w:val="0"/>
              </w:rPr>
            </w:pPr>
            <w:r>
              <w:rPr>
                <w:bCs w:val="0"/>
              </w:rPr>
              <w:t>37.2</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122</w:t>
            </w:r>
          </w:p>
        </w:tc>
        <w:tc>
          <w:tcPr>
            <w:tcW w:w="399" w:type="pct"/>
            <w:shd w:val="clear" w:color="auto" w:fill="auto"/>
            <w:vAlign w:val="center"/>
          </w:tcPr>
          <w:p>
            <w:pPr>
              <w:pStyle w:val="44"/>
              <w:spacing w:before="65" w:after="32"/>
              <w:rPr>
                <w:bCs w:val="0"/>
              </w:rPr>
            </w:pPr>
            <w:r>
              <w:rPr>
                <w:bCs w:val="0"/>
              </w:rPr>
              <w:t>18.4</w:t>
            </w:r>
          </w:p>
        </w:tc>
        <w:tc>
          <w:tcPr>
            <w:tcW w:w="305" w:type="pct"/>
            <w:shd w:val="clear" w:color="auto" w:fill="auto"/>
            <w:vAlign w:val="center"/>
          </w:tcPr>
          <w:p>
            <w:pPr>
              <w:pStyle w:val="44"/>
              <w:spacing w:before="65" w:after="32"/>
              <w:rPr>
                <w:bCs w:val="0"/>
              </w:rPr>
            </w:pPr>
            <w:r>
              <w:rPr>
                <w:rFonts w:hint="eastAsia"/>
                <w:bCs w:val="0"/>
              </w:rPr>
              <w:t>0</w:t>
            </w:r>
            <w:r>
              <w:rPr>
                <w:bCs w:val="0"/>
              </w:rPr>
              <w:t>.92</w:t>
            </w:r>
          </w:p>
        </w:tc>
        <w:tc>
          <w:tcPr>
            <w:tcW w:w="310" w:type="pct"/>
            <w:shd w:val="clear" w:color="auto" w:fill="auto"/>
            <w:vAlign w:val="center"/>
          </w:tcPr>
          <w:p>
            <w:pPr>
              <w:pStyle w:val="44"/>
              <w:spacing w:before="65" w:after="32"/>
              <w:rPr>
                <w:bCs w:val="0"/>
              </w:rPr>
            </w:pPr>
            <w:r>
              <w:rPr>
                <w:rFonts w:hint="eastAsia"/>
                <w:bCs w:val="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1524" w:type="pct"/>
            <w:gridSpan w:val="3"/>
            <w:vAlign w:val="center"/>
          </w:tcPr>
          <w:p>
            <w:pPr>
              <w:pStyle w:val="44"/>
              <w:spacing w:before="65" w:after="32"/>
              <w:rPr>
                <w:b/>
                <w:bCs w:val="0"/>
                <w:color w:val="auto"/>
              </w:rPr>
            </w:pPr>
            <w:r>
              <w:rPr>
                <w:rFonts w:hint="eastAsia"/>
                <w:bCs w:val="0"/>
                <w:color w:val="auto"/>
              </w:rPr>
              <w:t>日均值</w:t>
            </w:r>
          </w:p>
        </w:tc>
        <w:tc>
          <w:tcPr>
            <w:tcW w:w="385" w:type="pct"/>
            <w:vAlign w:val="center"/>
          </w:tcPr>
          <w:p>
            <w:pPr>
              <w:pStyle w:val="44"/>
              <w:spacing w:before="65" w:after="32"/>
              <w:rPr>
                <w:b/>
                <w:bCs w:val="0"/>
                <w:color w:val="auto"/>
              </w:rPr>
            </w:pPr>
            <w:r>
              <w:rPr>
                <w:bCs w:val="0"/>
                <w:color w:val="auto"/>
              </w:rPr>
              <w:t>6.67</w:t>
            </w:r>
            <w:r>
              <w:rPr>
                <w:rFonts w:hint="eastAsia"/>
                <w:bCs w:val="0"/>
                <w:color w:val="auto"/>
              </w:rPr>
              <w:t>~</w:t>
            </w:r>
            <w:r>
              <w:rPr>
                <w:bCs w:val="0"/>
                <w:color w:val="auto"/>
              </w:rPr>
              <w:t>6.71</w:t>
            </w:r>
          </w:p>
        </w:tc>
        <w:tc>
          <w:tcPr>
            <w:tcW w:w="350" w:type="pct"/>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29.2</w:t>
            </w:r>
          </w:p>
        </w:tc>
        <w:tc>
          <w:tcPr>
            <w:tcW w:w="448" w:type="pct"/>
            <w:vAlign w:val="center"/>
          </w:tcPr>
          <w:p>
            <w:pPr>
              <w:pStyle w:val="44"/>
              <w:spacing w:before="65" w:after="32"/>
              <w:rPr>
                <w:bCs w:val="0"/>
                <w:color w:val="auto"/>
              </w:rPr>
            </w:pPr>
            <w:r>
              <w:rPr>
                <w:bCs w:val="0"/>
                <w:color w:val="auto"/>
              </w:rPr>
              <w:t>36.8</w:t>
            </w:r>
          </w:p>
        </w:tc>
        <w:tc>
          <w:tcPr>
            <w:tcW w:w="382" w:type="pct"/>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122</w:t>
            </w:r>
          </w:p>
        </w:tc>
        <w:tc>
          <w:tcPr>
            <w:tcW w:w="399" w:type="pct"/>
            <w:vAlign w:val="center"/>
          </w:tcPr>
          <w:p>
            <w:pPr>
              <w:pStyle w:val="44"/>
              <w:spacing w:before="65" w:after="32"/>
              <w:rPr>
                <w:bCs w:val="0"/>
                <w:color w:val="auto"/>
              </w:rPr>
            </w:pPr>
            <w:r>
              <w:rPr>
                <w:rFonts w:hint="eastAsia"/>
                <w:bCs w:val="0"/>
                <w:color w:val="auto"/>
              </w:rPr>
              <w:t>1</w:t>
            </w:r>
            <w:r>
              <w:rPr>
                <w:bCs w:val="0"/>
                <w:color w:val="auto"/>
              </w:rPr>
              <w:t>8.4</w:t>
            </w:r>
          </w:p>
        </w:tc>
        <w:tc>
          <w:tcPr>
            <w:tcW w:w="305" w:type="pct"/>
            <w:vAlign w:val="center"/>
          </w:tcPr>
          <w:p>
            <w:pPr>
              <w:pStyle w:val="44"/>
              <w:spacing w:before="65" w:after="32"/>
              <w:rPr>
                <w:bCs w:val="0"/>
                <w:color w:val="auto"/>
              </w:rPr>
            </w:pPr>
            <w:r>
              <w:rPr>
                <w:rFonts w:hint="eastAsia"/>
                <w:bCs w:val="0"/>
                <w:color w:val="auto"/>
              </w:rPr>
              <w:t>0</w:t>
            </w:r>
            <w:r>
              <w:rPr>
                <w:bCs w:val="0"/>
                <w:color w:val="auto"/>
              </w:rPr>
              <w:t>.91</w:t>
            </w:r>
          </w:p>
        </w:tc>
        <w:tc>
          <w:tcPr>
            <w:tcW w:w="310" w:type="pct"/>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1" w:type="pct"/>
            <w:gridSpan w:val="5"/>
            <w:vAlign w:val="center"/>
          </w:tcPr>
          <w:p>
            <w:pPr>
              <w:pStyle w:val="44"/>
              <w:spacing w:before="65" w:after="32"/>
              <w:rPr>
                <w:bCs w:val="0"/>
                <w:color w:val="auto"/>
              </w:rPr>
            </w:pPr>
            <w:r>
              <w:rPr>
                <w:rFonts w:hint="eastAsia"/>
                <w:bCs w:val="0"/>
                <w:color w:val="auto"/>
              </w:rPr>
              <w:t>纳管标准</w:t>
            </w:r>
          </w:p>
        </w:tc>
        <w:tc>
          <w:tcPr>
            <w:tcW w:w="385" w:type="pct"/>
            <w:shd w:val="clear" w:color="auto" w:fill="auto"/>
            <w:vAlign w:val="center"/>
          </w:tcPr>
          <w:p>
            <w:pPr>
              <w:pStyle w:val="44"/>
              <w:spacing w:before="65" w:after="32"/>
              <w:rPr>
                <w:bCs w:val="0"/>
                <w:color w:val="auto"/>
              </w:rPr>
            </w:pPr>
            <w:r>
              <w:rPr>
                <w:bCs w:val="0"/>
                <w:color w:val="auto"/>
              </w:rPr>
              <w:t>6.0</w:t>
            </w:r>
            <w:r>
              <w:rPr>
                <w:rFonts w:eastAsia="宋体"/>
                <w:bCs w:val="0"/>
                <w:color w:val="auto"/>
              </w:rPr>
              <w:t>~</w:t>
            </w:r>
            <w:r>
              <w:rPr>
                <w:bCs w:val="0"/>
                <w:color w:val="auto"/>
              </w:rPr>
              <w:t>9.0</w:t>
            </w:r>
          </w:p>
        </w:tc>
        <w:tc>
          <w:tcPr>
            <w:tcW w:w="350" w:type="pct"/>
            <w:shd w:val="clear" w:color="auto" w:fill="auto"/>
            <w:vAlign w:val="center"/>
          </w:tcPr>
          <w:p>
            <w:pPr>
              <w:pStyle w:val="44"/>
              <w:spacing w:before="65" w:after="32"/>
              <w:rPr>
                <w:bCs w:val="0"/>
                <w:color w:val="auto"/>
              </w:rPr>
            </w:pPr>
            <w:r>
              <w:rPr>
                <w:bCs w:val="0"/>
                <w:color w:val="auto"/>
              </w:rPr>
              <w:t>100</w:t>
            </w:r>
          </w:p>
        </w:tc>
        <w:tc>
          <w:tcPr>
            <w:tcW w:w="448" w:type="pct"/>
            <w:shd w:val="clear" w:color="auto" w:fill="auto"/>
            <w:vAlign w:val="center"/>
          </w:tcPr>
          <w:p>
            <w:pPr>
              <w:pStyle w:val="44"/>
              <w:spacing w:before="65" w:after="32"/>
              <w:rPr>
                <w:bCs w:val="0"/>
                <w:color w:val="auto"/>
              </w:rPr>
            </w:pPr>
            <w:r>
              <w:rPr>
                <w:bCs w:val="0"/>
                <w:color w:val="auto"/>
              </w:rPr>
              <w:t>50</w:t>
            </w:r>
          </w:p>
        </w:tc>
        <w:tc>
          <w:tcPr>
            <w:tcW w:w="382" w:type="pct"/>
            <w:shd w:val="clear" w:color="auto" w:fill="auto"/>
            <w:vAlign w:val="center"/>
          </w:tcPr>
          <w:p>
            <w:pPr>
              <w:pStyle w:val="44"/>
              <w:spacing w:before="65" w:after="32"/>
              <w:rPr>
                <w:bCs w:val="0"/>
                <w:color w:val="auto"/>
              </w:rPr>
            </w:pPr>
            <w:r>
              <w:rPr>
                <w:bCs w:val="0"/>
                <w:color w:val="auto"/>
              </w:rPr>
              <w:t>200</w:t>
            </w:r>
          </w:p>
        </w:tc>
        <w:tc>
          <w:tcPr>
            <w:tcW w:w="399" w:type="pct"/>
            <w:shd w:val="clear" w:color="auto" w:fill="auto"/>
            <w:vAlign w:val="center"/>
          </w:tcPr>
          <w:p>
            <w:pPr>
              <w:pStyle w:val="44"/>
              <w:spacing w:before="65" w:after="32"/>
              <w:rPr>
                <w:bCs w:val="0"/>
                <w:color w:val="auto"/>
              </w:rPr>
            </w:pPr>
            <w:r>
              <w:rPr>
                <w:bCs w:val="0"/>
                <w:color w:val="auto"/>
              </w:rPr>
              <w:t>20</w:t>
            </w:r>
          </w:p>
        </w:tc>
        <w:tc>
          <w:tcPr>
            <w:tcW w:w="305" w:type="pct"/>
            <w:shd w:val="clear" w:color="auto" w:fill="auto"/>
            <w:vAlign w:val="center"/>
          </w:tcPr>
          <w:p>
            <w:pPr>
              <w:pStyle w:val="44"/>
              <w:spacing w:before="65" w:after="32"/>
              <w:rPr>
                <w:bCs w:val="0"/>
                <w:color w:val="auto"/>
              </w:rPr>
            </w:pPr>
            <w:r>
              <w:rPr>
                <w:bCs w:val="0"/>
                <w:color w:val="auto"/>
              </w:rPr>
              <w:t>1.5</w:t>
            </w:r>
          </w:p>
        </w:tc>
        <w:tc>
          <w:tcPr>
            <w:tcW w:w="310" w:type="pct"/>
            <w:shd w:val="clear" w:color="auto" w:fill="auto"/>
            <w:vAlign w:val="center"/>
          </w:tcPr>
          <w:p>
            <w:pPr>
              <w:pStyle w:val="44"/>
              <w:spacing w:before="65" w:after="32"/>
              <w:rPr>
                <w:bCs w:val="0"/>
                <w:color w:val="auto"/>
              </w:rPr>
            </w:pPr>
            <w:r>
              <w:rPr>
                <w:rFonts w:hint="eastAsia"/>
                <w:bCs w:val="0"/>
                <w:color w:val="auto"/>
              </w:rPr>
              <w:t>8</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1" w:type="pct"/>
            <w:gridSpan w:val="5"/>
            <w:vAlign w:val="center"/>
          </w:tcPr>
          <w:p>
            <w:pPr>
              <w:pStyle w:val="44"/>
              <w:spacing w:before="65" w:after="32"/>
              <w:rPr>
                <w:bCs w:val="0"/>
                <w:color w:val="auto"/>
              </w:rPr>
            </w:pPr>
            <w:r>
              <w:rPr>
                <w:rFonts w:hint="eastAsia"/>
                <w:bCs w:val="0"/>
                <w:color w:val="auto"/>
              </w:rPr>
              <w:t>达标情况</w:t>
            </w:r>
          </w:p>
        </w:tc>
        <w:tc>
          <w:tcPr>
            <w:tcW w:w="385" w:type="pct"/>
            <w:shd w:val="clear" w:color="auto" w:fill="auto"/>
            <w:vAlign w:val="center"/>
          </w:tcPr>
          <w:p>
            <w:pPr>
              <w:pStyle w:val="44"/>
              <w:spacing w:before="65" w:after="32"/>
              <w:rPr>
                <w:bCs w:val="0"/>
                <w:color w:val="auto"/>
              </w:rPr>
            </w:pPr>
            <w:r>
              <w:rPr>
                <w:rFonts w:hint="eastAsia"/>
                <w:bCs w:val="0"/>
                <w:color w:val="auto"/>
              </w:rPr>
              <w:t>达标</w:t>
            </w:r>
          </w:p>
        </w:tc>
        <w:tc>
          <w:tcPr>
            <w:tcW w:w="350" w:type="pct"/>
            <w:shd w:val="clear" w:color="auto" w:fill="auto"/>
            <w:vAlign w:val="center"/>
          </w:tcPr>
          <w:p>
            <w:pPr>
              <w:pStyle w:val="44"/>
              <w:spacing w:before="65" w:after="32"/>
              <w:rPr>
                <w:bCs w:val="0"/>
                <w:color w:val="auto"/>
              </w:rPr>
            </w:pPr>
            <w:r>
              <w:rPr>
                <w:rFonts w:hint="eastAsia"/>
                <w:bCs w:val="0"/>
                <w:color w:val="auto"/>
              </w:rPr>
              <w:t>达标</w:t>
            </w:r>
          </w:p>
        </w:tc>
        <w:tc>
          <w:tcPr>
            <w:tcW w:w="448" w:type="pct"/>
            <w:shd w:val="clear" w:color="auto" w:fill="auto"/>
            <w:vAlign w:val="center"/>
          </w:tcPr>
          <w:p>
            <w:pPr>
              <w:pStyle w:val="44"/>
              <w:spacing w:before="65" w:after="32"/>
              <w:rPr>
                <w:bCs w:val="0"/>
                <w:color w:val="auto"/>
              </w:rPr>
            </w:pPr>
            <w:r>
              <w:rPr>
                <w:rFonts w:hint="eastAsia"/>
                <w:bCs w:val="0"/>
                <w:color w:val="auto"/>
              </w:rPr>
              <w:t>达标</w:t>
            </w:r>
          </w:p>
        </w:tc>
        <w:tc>
          <w:tcPr>
            <w:tcW w:w="382" w:type="pct"/>
            <w:shd w:val="clear" w:color="auto" w:fill="auto"/>
            <w:vAlign w:val="center"/>
          </w:tcPr>
          <w:p>
            <w:pPr>
              <w:pStyle w:val="44"/>
              <w:spacing w:before="65" w:after="32"/>
              <w:rPr>
                <w:bCs w:val="0"/>
                <w:color w:val="auto"/>
              </w:rPr>
            </w:pPr>
            <w:r>
              <w:rPr>
                <w:rFonts w:hint="eastAsia"/>
                <w:bCs w:val="0"/>
                <w:color w:val="auto"/>
              </w:rPr>
              <w:t>达标</w:t>
            </w:r>
          </w:p>
        </w:tc>
        <w:tc>
          <w:tcPr>
            <w:tcW w:w="399" w:type="pct"/>
            <w:shd w:val="clear" w:color="auto" w:fill="auto"/>
            <w:vAlign w:val="center"/>
          </w:tcPr>
          <w:p>
            <w:pPr>
              <w:pStyle w:val="44"/>
              <w:spacing w:before="65" w:after="32"/>
              <w:rPr>
                <w:bCs w:val="0"/>
                <w:color w:val="auto"/>
              </w:rPr>
            </w:pPr>
            <w:r>
              <w:rPr>
                <w:rFonts w:hint="eastAsia"/>
                <w:bCs w:val="0"/>
                <w:color w:val="auto"/>
              </w:rPr>
              <w:t>达标</w:t>
            </w:r>
          </w:p>
        </w:tc>
        <w:tc>
          <w:tcPr>
            <w:tcW w:w="305" w:type="pct"/>
            <w:shd w:val="clear" w:color="auto" w:fill="auto"/>
            <w:vAlign w:val="center"/>
          </w:tcPr>
          <w:p>
            <w:pPr>
              <w:pStyle w:val="44"/>
              <w:spacing w:before="65" w:after="32"/>
              <w:rPr>
                <w:bCs w:val="0"/>
                <w:color w:val="auto"/>
              </w:rPr>
            </w:pPr>
            <w:r>
              <w:rPr>
                <w:rFonts w:hint="eastAsia"/>
                <w:bCs w:val="0"/>
                <w:color w:val="auto"/>
              </w:rPr>
              <w:t>达标</w:t>
            </w:r>
          </w:p>
        </w:tc>
        <w:tc>
          <w:tcPr>
            <w:tcW w:w="310" w:type="pct"/>
            <w:shd w:val="clear" w:color="auto" w:fill="auto"/>
            <w:vAlign w:val="center"/>
          </w:tcPr>
          <w:p>
            <w:pPr>
              <w:pStyle w:val="44"/>
              <w:spacing w:before="65" w:after="32"/>
              <w:rPr>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restart"/>
            <w:vAlign w:val="center"/>
          </w:tcPr>
          <w:p>
            <w:pPr>
              <w:pStyle w:val="44"/>
              <w:spacing w:before="65" w:after="32"/>
              <w:rPr>
                <w:bCs w:val="0"/>
                <w:color w:val="auto"/>
              </w:rPr>
            </w:pPr>
            <w:r>
              <w:rPr>
                <w:rFonts w:hint="eastAsia"/>
                <w:bCs w:val="0"/>
                <w:color w:val="auto"/>
              </w:rPr>
              <w:t>2022.12.1</w:t>
            </w:r>
          </w:p>
        </w:tc>
        <w:tc>
          <w:tcPr>
            <w:tcW w:w="491" w:type="pct"/>
            <w:vMerge w:val="restart"/>
            <w:vAlign w:val="center"/>
          </w:tcPr>
          <w:p>
            <w:pPr>
              <w:pStyle w:val="44"/>
              <w:spacing w:before="65" w:after="32"/>
              <w:rPr>
                <w:bCs w:val="0"/>
                <w:color w:val="auto"/>
              </w:rPr>
            </w:pPr>
            <w:r>
              <w:rPr>
                <w:rFonts w:hint="eastAsia"/>
                <w:bCs w:val="0"/>
                <w:color w:val="auto"/>
              </w:rPr>
              <w:t>隔油池进口</w:t>
            </w: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212018001</w:t>
            </w:r>
          </w:p>
        </w:tc>
        <w:tc>
          <w:tcPr>
            <w:tcW w:w="391" w:type="pct"/>
            <w:vAlign w:val="center"/>
          </w:tcPr>
          <w:p>
            <w:pPr>
              <w:pStyle w:val="44"/>
              <w:spacing w:before="65" w:after="32"/>
              <w:rPr>
                <w:bCs w:val="0"/>
                <w:color w:val="auto"/>
              </w:rPr>
            </w:pPr>
            <w:r>
              <w:rPr>
                <w:rFonts w:hint="eastAsia"/>
                <w:bCs w:val="0"/>
                <w:color w:val="auto"/>
              </w:rPr>
              <w:t>13:00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.31</w:t>
            </w:r>
          </w:p>
        </w:tc>
        <w:tc>
          <w:tcPr>
            <w:tcW w:w="350" w:type="pct"/>
            <w:shd w:val="clear" w:color="auto" w:fill="auto"/>
            <w:vAlign w:val="center"/>
          </w:tcPr>
          <w:p>
            <w:pPr>
              <w:pStyle w:val="44"/>
              <w:spacing w:before="65" w:after="32"/>
              <w:rPr>
                <w:bCs w:val="0"/>
                <w:color w:val="auto"/>
              </w:rPr>
            </w:pPr>
            <w:r>
              <w:rPr>
                <w:bCs w:val="0"/>
                <w:color w:val="auto"/>
              </w:rPr>
              <w:t>215</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60</w:t>
            </w:r>
          </w:p>
        </w:tc>
        <w:tc>
          <w:tcPr>
            <w:tcW w:w="382" w:type="pct"/>
            <w:shd w:val="clear" w:color="auto" w:fill="auto"/>
            <w:vAlign w:val="center"/>
          </w:tcPr>
          <w:p>
            <w:pPr>
              <w:pStyle w:val="44"/>
              <w:spacing w:before="65" w:after="32"/>
              <w:rPr>
                <w:bCs w:val="0"/>
                <w:color w:val="auto"/>
              </w:rPr>
            </w:pPr>
            <w:r>
              <w:rPr>
                <w:rFonts w:hint="eastAsia"/>
                <w:bCs w:val="0"/>
                <w:color w:val="auto"/>
              </w:rPr>
              <w:t>2</w:t>
            </w:r>
            <w:r>
              <w:rPr>
                <w:bCs w:val="0"/>
                <w:color w:val="auto"/>
              </w:rPr>
              <w:t>.39×10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170</w:t>
            </w:r>
          </w:p>
        </w:tc>
        <w:tc>
          <w:tcPr>
            <w:tcW w:w="305" w:type="pct"/>
            <w:shd w:val="clear" w:color="auto" w:fill="auto"/>
            <w:vAlign w:val="center"/>
          </w:tcPr>
          <w:p>
            <w:pPr>
              <w:pStyle w:val="44"/>
              <w:spacing w:before="65" w:after="32"/>
              <w:rPr>
                <w:bCs w:val="0"/>
                <w:color w:val="auto"/>
              </w:rPr>
            </w:pPr>
            <w:r>
              <w:rPr>
                <w:rFonts w:hint="eastAsia"/>
                <w:bCs w:val="0"/>
                <w:color w:val="auto"/>
              </w:rPr>
              <w:t>2</w:t>
            </w:r>
            <w:r>
              <w:rPr>
                <w:bCs w:val="0"/>
                <w:color w:val="auto"/>
              </w:rPr>
              <w:t>.82</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212018002</w:t>
            </w:r>
          </w:p>
        </w:tc>
        <w:tc>
          <w:tcPr>
            <w:tcW w:w="391" w:type="pct"/>
            <w:vAlign w:val="center"/>
          </w:tcPr>
          <w:p>
            <w:pPr>
              <w:pStyle w:val="44"/>
              <w:spacing w:before="65" w:after="32"/>
              <w:rPr>
                <w:bCs w:val="0"/>
                <w:color w:val="auto"/>
              </w:rPr>
            </w:pPr>
            <w:r>
              <w:rPr>
                <w:rFonts w:hint="eastAsia"/>
                <w:bCs w:val="0"/>
                <w:color w:val="auto"/>
              </w:rPr>
              <w:t>1</w:t>
            </w:r>
            <w:r>
              <w:rPr>
                <w:bCs w:val="0"/>
                <w:color w:val="auto"/>
              </w:rPr>
              <w:t>4</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.30</w:t>
            </w:r>
          </w:p>
        </w:tc>
        <w:tc>
          <w:tcPr>
            <w:tcW w:w="350" w:type="pct"/>
            <w:shd w:val="clear" w:color="auto" w:fill="auto"/>
            <w:vAlign w:val="center"/>
          </w:tcPr>
          <w:p>
            <w:pPr>
              <w:pStyle w:val="44"/>
              <w:spacing w:before="65" w:after="32"/>
              <w:rPr>
                <w:bCs w:val="0"/>
                <w:color w:val="auto"/>
              </w:rPr>
            </w:pPr>
            <w:r>
              <w:rPr>
                <w:bCs w:val="0"/>
                <w:color w:val="auto"/>
              </w:rPr>
              <w:t>200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00</w:t>
            </w:r>
          </w:p>
        </w:tc>
        <w:tc>
          <w:tcPr>
            <w:tcW w:w="382" w:type="pct"/>
            <w:shd w:val="clear" w:color="auto" w:fill="auto"/>
            <w:vAlign w:val="center"/>
          </w:tcPr>
          <w:p>
            <w:pPr>
              <w:pStyle w:val="44"/>
              <w:spacing w:before="65" w:after="32"/>
              <w:rPr>
                <w:bCs w:val="0"/>
                <w:color w:val="auto"/>
              </w:rPr>
            </w:pPr>
            <w:r>
              <w:rPr>
                <w:bCs w:val="0"/>
                <w:color w:val="auto"/>
              </w:rPr>
              <w:t>2.42×10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169</w:t>
            </w:r>
          </w:p>
        </w:tc>
        <w:tc>
          <w:tcPr>
            <w:tcW w:w="305" w:type="pct"/>
            <w:shd w:val="clear" w:color="auto" w:fill="auto"/>
            <w:vAlign w:val="center"/>
          </w:tcPr>
          <w:p>
            <w:pPr>
              <w:pStyle w:val="44"/>
              <w:spacing w:before="65" w:after="32"/>
              <w:rPr>
                <w:bCs w:val="0"/>
                <w:color w:val="auto"/>
              </w:rPr>
            </w:pPr>
            <w:r>
              <w:rPr>
                <w:rFonts w:hint="eastAsia"/>
                <w:bCs w:val="0"/>
                <w:color w:val="auto"/>
              </w:rPr>
              <w:t>3</w:t>
            </w:r>
            <w:r>
              <w:rPr>
                <w:bCs w:val="0"/>
                <w:color w:val="auto"/>
              </w:rPr>
              <w:t>.28</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212018003</w:t>
            </w:r>
          </w:p>
        </w:tc>
        <w:tc>
          <w:tcPr>
            <w:tcW w:w="391" w:type="pct"/>
            <w:vAlign w:val="center"/>
          </w:tcPr>
          <w:p>
            <w:pPr>
              <w:pStyle w:val="44"/>
              <w:spacing w:before="65" w:after="32"/>
              <w:rPr>
                <w:bCs w:val="0"/>
                <w:color w:val="auto"/>
              </w:rPr>
            </w:pPr>
            <w:r>
              <w:rPr>
                <w:rFonts w:hint="eastAsia"/>
                <w:bCs w:val="0"/>
                <w:color w:val="auto"/>
              </w:rPr>
              <w:t>1</w:t>
            </w:r>
            <w:r>
              <w:rPr>
                <w:bCs w:val="0"/>
                <w:color w:val="auto"/>
              </w:rPr>
              <w:t>5</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.29</w:t>
            </w:r>
          </w:p>
        </w:tc>
        <w:tc>
          <w:tcPr>
            <w:tcW w:w="350" w:type="pct"/>
            <w:shd w:val="clear" w:color="auto" w:fill="auto"/>
            <w:vAlign w:val="center"/>
          </w:tcPr>
          <w:p>
            <w:pPr>
              <w:pStyle w:val="44"/>
              <w:spacing w:before="65" w:after="32"/>
              <w:rPr>
                <w:bCs w:val="0"/>
                <w:color w:val="auto"/>
              </w:rPr>
            </w:pPr>
            <w:r>
              <w:rPr>
                <w:bCs w:val="0"/>
                <w:color w:val="auto"/>
              </w:rPr>
              <w:t>210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60</w:t>
            </w:r>
          </w:p>
        </w:tc>
        <w:tc>
          <w:tcPr>
            <w:tcW w:w="382" w:type="pct"/>
            <w:shd w:val="clear" w:color="auto" w:fill="auto"/>
            <w:vAlign w:val="center"/>
          </w:tcPr>
          <w:p>
            <w:pPr>
              <w:pStyle w:val="44"/>
              <w:spacing w:before="65" w:after="32"/>
              <w:rPr>
                <w:bCs w:val="0"/>
                <w:color w:val="auto"/>
              </w:rPr>
            </w:pPr>
            <w:r>
              <w:rPr>
                <w:bCs w:val="0"/>
                <w:color w:val="auto"/>
              </w:rPr>
              <w:t>2.40×10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170</w:t>
            </w:r>
          </w:p>
        </w:tc>
        <w:tc>
          <w:tcPr>
            <w:tcW w:w="305" w:type="pct"/>
            <w:shd w:val="clear" w:color="auto" w:fill="auto"/>
            <w:vAlign w:val="center"/>
          </w:tcPr>
          <w:p>
            <w:pPr>
              <w:pStyle w:val="44"/>
              <w:spacing w:before="65" w:after="32"/>
              <w:rPr>
                <w:bCs w:val="0"/>
                <w:color w:val="auto"/>
              </w:rPr>
            </w:pPr>
            <w:r>
              <w:rPr>
                <w:rFonts w:hint="eastAsia"/>
                <w:bCs w:val="0"/>
                <w:color w:val="auto"/>
              </w:rPr>
              <w:t>2</w:t>
            </w:r>
            <w:r>
              <w:rPr>
                <w:bCs w:val="0"/>
                <w:color w:val="auto"/>
              </w:rPr>
              <w:t>.96</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212018004</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.27</w:t>
            </w:r>
          </w:p>
        </w:tc>
        <w:tc>
          <w:tcPr>
            <w:tcW w:w="350" w:type="pct"/>
            <w:shd w:val="clear" w:color="auto" w:fill="auto"/>
            <w:vAlign w:val="center"/>
          </w:tcPr>
          <w:p>
            <w:pPr>
              <w:pStyle w:val="44"/>
              <w:spacing w:before="65" w:after="32"/>
              <w:rPr>
                <w:bCs w:val="0"/>
                <w:color w:val="auto"/>
              </w:rPr>
            </w:pPr>
            <w:r>
              <w:rPr>
                <w:bCs w:val="0"/>
                <w:color w:val="auto"/>
              </w:rPr>
              <w:t>198</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20</w:t>
            </w:r>
          </w:p>
        </w:tc>
        <w:tc>
          <w:tcPr>
            <w:tcW w:w="382" w:type="pct"/>
            <w:shd w:val="clear" w:color="auto" w:fill="auto"/>
            <w:vAlign w:val="center"/>
          </w:tcPr>
          <w:p>
            <w:pPr>
              <w:pStyle w:val="44"/>
              <w:spacing w:before="65" w:after="32"/>
              <w:rPr>
                <w:bCs w:val="0"/>
                <w:color w:val="auto"/>
              </w:rPr>
            </w:pPr>
            <w:r>
              <w:rPr>
                <w:bCs w:val="0"/>
                <w:color w:val="auto"/>
              </w:rPr>
              <w:t>2.37×10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168</w:t>
            </w:r>
          </w:p>
        </w:tc>
        <w:tc>
          <w:tcPr>
            <w:tcW w:w="305" w:type="pct"/>
            <w:shd w:val="clear" w:color="auto" w:fill="auto"/>
            <w:vAlign w:val="center"/>
          </w:tcPr>
          <w:p>
            <w:pPr>
              <w:pStyle w:val="44"/>
              <w:spacing w:before="65" w:after="32"/>
              <w:rPr>
                <w:bCs w:val="0"/>
                <w:color w:val="auto"/>
              </w:rPr>
            </w:pPr>
            <w:r>
              <w:rPr>
                <w:rFonts w:hint="eastAsia"/>
                <w:bCs w:val="0"/>
                <w:color w:val="auto"/>
              </w:rPr>
              <w:t>3</w:t>
            </w:r>
            <w:r>
              <w:rPr>
                <w:bCs w:val="0"/>
                <w:color w:val="auto"/>
              </w:rPr>
              <w:t>.03</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212018004</w:t>
            </w:r>
          </w:p>
          <w:p>
            <w:pPr>
              <w:pStyle w:val="44"/>
              <w:spacing w:before="65" w:after="32" w:line="200" w:lineRule="exact"/>
              <w:rPr>
                <w:bCs w:val="0"/>
                <w:color w:val="auto"/>
              </w:rPr>
            </w:pPr>
            <w:r>
              <w:rPr>
                <w:rFonts w:hint="eastAsia"/>
                <w:bCs w:val="0"/>
                <w:color w:val="auto"/>
              </w:rPr>
              <w:t>（平行）</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w:t>
            </w:r>
            <w:r>
              <w:rPr>
                <w:bCs w:val="0"/>
                <w:color w:val="auto"/>
              </w:rPr>
              <w:t>00</w:t>
            </w:r>
          </w:p>
        </w:tc>
        <w:tc>
          <w:tcPr>
            <w:tcW w:w="493" w:type="pct"/>
            <w:vAlign w:val="center"/>
          </w:tcPr>
          <w:p>
            <w:pPr>
              <w:pStyle w:val="44"/>
              <w:spacing w:before="65" w:after="32"/>
              <w:rPr>
                <w:bCs w:val="0"/>
                <w:color w:val="auto"/>
              </w:rPr>
            </w:pPr>
            <w:r>
              <w:rPr>
                <w:rFonts w:hint="eastAsia"/>
                <w:bCs w:val="0"/>
                <w:color w:val="auto"/>
              </w:rPr>
              <w:t>乳白、浑浊</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.27</w:t>
            </w:r>
          </w:p>
        </w:tc>
        <w:tc>
          <w:tcPr>
            <w:tcW w:w="350" w:type="pct"/>
            <w:shd w:val="clear" w:color="auto" w:fill="auto"/>
            <w:vAlign w:val="center"/>
          </w:tcPr>
          <w:p>
            <w:pPr>
              <w:pStyle w:val="44"/>
              <w:spacing w:before="65" w:after="32"/>
              <w:rPr>
                <w:bCs w:val="0"/>
                <w:color w:val="auto"/>
              </w:rPr>
            </w:pPr>
            <w:r>
              <w:rPr>
                <w:bCs w:val="0"/>
                <w:color w:val="auto"/>
              </w:rPr>
              <w:t>200</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20</w:t>
            </w:r>
          </w:p>
        </w:tc>
        <w:tc>
          <w:tcPr>
            <w:tcW w:w="382" w:type="pct"/>
            <w:shd w:val="clear" w:color="auto" w:fill="auto"/>
            <w:vAlign w:val="center"/>
          </w:tcPr>
          <w:p>
            <w:pPr>
              <w:pStyle w:val="44"/>
              <w:spacing w:before="65" w:after="32"/>
              <w:rPr>
                <w:bCs w:val="0"/>
                <w:color w:val="auto"/>
              </w:rPr>
            </w:pPr>
            <w:r>
              <w:rPr>
                <w:bCs w:val="0"/>
                <w:color w:val="auto"/>
              </w:rPr>
              <w:t>2.41×10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bCs w:val="0"/>
                <w:color w:val="auto"/>
              </w:rPr>
              <w:t>168</w:t>
            </w:r>
          </w:p>
        </w:tc>
        <w:tc>
          <w:tcPr>
            <w:tcW w:w="305" w:type="pct"/>
            <w:shd w:val="clear" w:color="auto" w:fill="auto"/>
            <w:vAlign w:val="center"/>
          </w:tcPr>
          <w:p>
            <w:pPr>
              <w:pStyle w:val="44"/>
              <w:spacing w:before="65" w:after="32"/>
              <w:rPr>
                <w:bCs w:val="0"/>
                <w:color w:val="auto"/>
              </w:rPr>
            </w:pPr>
            <w:r>
              <w:rPr>
                <w:rFonts w:hint="eastAsia"/>
                <w:bCs w:val="0"/>
                <w:color w:val="auto"/>
              </w:rPr>
              <w:t>3</w:t>
            </w:r>
            <w:r>
              <w:rPr>
                <w:bCs w:val="0"/>
                <w:color w:val="auto"/>
              </w:rPr>
              <w:t>.14</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1524" w:type="pct"/>
            <w:gridSpan w:val="3"/>
            <w:vAlign w:val="center"/>
          </w:tcPr>
          <w:p>
            <w:pPr>
              <w:pStyle w:val="44"/>
              <w:spacing w:before="65" w:after="32"/>
              <w:rPr>
                <w:bCs w:val="0"/>
                <w:color w:val="auto"/>
              </w:rPr>
            </w:pPr>
            <w:r>
              <w:rPr>
                <w:rFonts w:hint="eastAsia"/>
                <w:bCs w:val="0"/>
                <w:color w:val="auto"/>
              </w:rPr>
              <w:t>日均值</w:t>
            </w:r>
          </w:p>
        </w:tc>
        <w:tc>
          <w:tcPr>
            <w:tcW w:w="385" w:type="pct"/>
            <w:shd w:val="clear" w:color="auto" w:fill="auto"/>
            <w:vAlign w:val="center"/>
          </w:tcPr>
          <w:p>
            <w:pPr>
              <w:pStyle w:val="44"/>
              <w:spacing w:before="65" w:after="32"/>
              <w:rPr>
                <w:bCs w:val="0"/>
                <w:color w:val="auto"/>
              </w:rPr>
            </w:pPr>
            <w:r>
              <w:rPr>
                <w:rFonts w:hint="eastAsia"/>
                <w:bCs w:val="0"/>
                <w:color w:val="auto"/>
              </w:rPr>
              <w:t>8</w:t>
            </w:r>
            <w:r>
              <w:rPr>
                <w:bCs w:val="0"/>
                <w:color w:val="auto"/>
              </w:rPr>
              <w:t>.27</w:t>
            </w:r>
            <w:r>
              <w:rPr>
                <w:rFonts w:eastAsia="宋体"/>
                <w:bCs w:val="0"/>
                <w:color w:val="auto"/>
              </w:rPr>
              <w:t>~8.31</w:t>
            </w:r>
          </w:p>
        </w:tc>
        <w:tc>
          <w:tcPr>
            <w:tcW w:w="350" w:type="pct"/>
            <w:shd w:val="clear" w:color="auto" w:fill="auto"/>
            <w:vAlign w:val="center"/>
          </w:tcPr>
          <w:p>
            <w:pPr>
              <w:pStyle w:val="44"/>
              <w:spacing w:before="65" w:after="32"/>
              <w:rPr>
                <w:bCs w:val="0"/>
                <w:color w:val="auto"/>
              </w:rPr>
            </w:pPr>
            <w:r>
              <w:rPr>
                <w:rFonts w:hint="eastAsia"/>
                <w:bCs w:val="0"/>
                <w:color w:val="auto"/>
              </w:rPr>
              <w:t>2</w:t>
            </w:r>
            <w:r>
              <w:rPr>
                <w:bCs w:val="0"/>
                <w:color w:val="auto"/>
              </w:rPr>
              <w:t>04.6</w:t>
            </w:r>
          </w:p>
        </w:tc>
        <w:tc>
          <w:tcPr>
            <w:tcW w:w="448" w:type="pct"/>
            <w:shd w:val="clear" w:color="auto" w:fill="auto"/>
            <w:vAlign w:val="center"/>
          </w:tcPr>
          <w:p>
            <w:pPr>
              <w:pStyle w:val="44"/>
              <w:spacing w:before="65" w:after="32"/>
              <w:rPr>
                <w:bCs w:val="0"/>
                <w:color w:val="auto"/>
              </w:rPr>
            </w:pPr>
            <w:r>
              <w:rPr>
                <w:rFonts w:hint="eastAsia"/>
                <w:bCs w:val="0"/>
                <w:color w:val="auto"/>
              </w:rPr>
              <w:t>9</w:t>
            </w:r>
            <w:r>
              <w:rPr>
                <w:bCs w:val="0"/>
                <w:color w:val="auto"/>
              </w:rPr>
              <w:t>32</w:t>
            </w:r>
          </w:p>
        </w:tc>
        <w:tc>
          <w:tcPr>
            <w:tcW w:w="382" w:type="pct"/>
            <w:shd w:val="clear" w:color="auto" w:fill="auto"/>
            <w:vAlign w:val="center"/>
          </w:tcPr>
          <w:p>
            <w:pPr>
              <w:pStyle w:val="44"/>
              <w:spacing w:before="65" w:after="32"/>
              <w:rPr>
                <w:bCs w:val="0"/>
                <w:color w:val="auto"/>
              </w:rPr>
            </w:pPr>
            <w:r>
              <w:rPr>
                <w:rFonts w:hint="eastAsia"/>
                <w:bCs w:val="0"/>
                <w:color w:val="auto"/>
              </w:rPr>
              <w:t>2</w:t>
            </w:r>
            <w:r>
              <w:rPr>
                <w:bCs w:val="0"/>
                <w:color w:val="auto"/>
              </w:rPr>
              <w:t>.398×10</w:t>
            </w:r>
            <w:r>
              <w:rPr>
                <w:bCs w:val="0"/>
                <w:color w:val="auto"/>
                <w:vertAlign w:val="superscript"/>
              </w:rPr>
              <w:t>3</w:t>
            </w:r>
          </w:p>
        </w:tc>
        <w:tc>
          <w:tcPr>
            <w:tcW w:w="399" w:type="pct"/>
            <w:shd w:val="clear" w:color="auto" w:fill="auto"/>
            <w:vAlign w:val="center"/>
          </w:tcPr>
          <w:p>
            <w:pPr>
              <w:pStyle w:val="44"/>
              <w:spacing w:before="65" w:after="32"/>
              <w:rPr>
                <w:bCs w:val="0"/>
                <w:color w:val="auto"/>
              </w:rPr>
            </w:pPr>
            <w:r>
              <w:rPr>
                <w:rFonts w:hint="eastAsia"/>
                <w:bCs w:val="0"/>
                <w:color w:val="auto"/>
              </w:rPr>
              <w:t>1</w:t>
            </w:r>
            <w:r>
              <w:rPr>
                <w:bCs w:val="0"/>
                <w:color w:val="auto"/>
              </w:rPr>
              <w:t>69</w:t>
            </w:r>
          </w:p>
        </w:tc>
        <w:tc>
          <w:tcPr>
            <w:tcW w:w="305" w:type="pct"/>
            <w:shd w:val="clear" w:color="auto" w:fill="auto"/>
            <w:vAlign w:val="center"/>
          </w:tcPr>
          <w:p>
            <w:pPr>
              <w:pStyle w:val="44"/>
              <w:spacing w:before="65" w:after="32"/>
              <w:rPr>
                <w:bCs w:val="0"/>
                <w:color w:val="auto"/>
              </w:rPr>
            </w:pPr>
            <w:r>
              <w:rPr>
                <w:rFonts w:hint="eastAsia"/>
                <w:bCs w:val="0"/>
                <w:color w:val="auto"/>
              </w:rPr>
              <w:t>3</w:t>
            </w:r>
            <w:r>
              <w:rPr>
                <w:bCs w:val="0"/>
                <w:color w:val="auto"/>
              </w:rPr>
              <w:t>.05</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restart"/>
            <w:vAlign w:val="center"/>
          </w:tcPr>
          <w:p>
            <w:pPr>
              <w:pStyle w:val="44"/>
              <w:spacing w:before="65" w:after="32"/>
              <w:rPr>
                <w:bCs w:val="0"/>
                <w:color w:val="auto"/>
              </w:rPr>
            </w:pPr>
            <w:r>
              <w:rPr>
                <w:rFonts w:hint="eastAsia"/>
                <w:bCs w:val="0"/>
                <w:color w:val="auto"/>
              </w:rPr>
              <w:t>A</w:t>
            </w:r>
            <w:r>
              <w:rPr>
                <w:bCs w:val="0"/>
                <w:color w:val="auto"/>
              </w:rPr>
              <w:t>O池进口</w:t>
            </w: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212018005</w:t>
            </w:r>
          </w:p>
        </w:tc>
        <w:tc>
          <w:tcPr>
            <w:tcW w:w="391" w:type="pct"/>
            <w:vAlign w:val="center"/>
          </w:tcPr>
          <w:p>
            <w:pPr>
              <w:pStyle w:val="44"/>
              <w:spacing w:before="65" w:after="32"/>
              <w:rPr>
                <w:bCs w:val="0"/>
                <w:color w:val="auto"/>
              </w:rPr>
            </w:pPr>
            <w:r>
              <w:rPr>
                <w:rFonts w:hint="eastAsia"/>
                <w:bCs w:val="0"/>
                <w:color w:val="auto"/>
              </w:rPr>
              <w:t>1</w:t>
            </w:r>
            <w:r>
              <w:rPr>
                <w:bCs w:val="0"/>
                <w:color w:val="auto"/>
              </w:rPr>
              <w:t>3</w:t>
            </w:r>
            <w:r>
              <w:rPr>
                <w:rFonts w:hint="eastAsia"/>
                <w:bCs w:val="0"/>
                <w:color w:val="auto"/>
              </w:rPr>
              <w:t>:1</w:t>
            </w:r>
            <w:r>
              <w:rPr>
                <w:bCs w:val="0"/>
                <w:color w:val="auto"/>
              </w:rPr>
              <w:t>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.26</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150</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780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2.01</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138</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2.29</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212018006</w:t>
            </w:r>
          </w:p>
        </w:tc>
        <w:tc>
          <w:tcPr>
            <w:tcW w:w="391" w:type="pct"/>
            <w:vAlign w:val="center"/>
          </w:tcPr>
          <w:p>
            <w:pPr>
              <w:pStyle w:val="44"/>
              <w:spacing w:before="65" w:after="32"/>
              <w:rPr>
                <w:bCs w:val="0"/>
                <w:color w:val="auto"/>
              </w:rPr>
            </w:pPr>
            <w:r>
              <w:rPr>
                <w:rFonts w:hint="eastAsia"/>
                <w:bCs w:val="0"/>
                <w:color w:val="auto"/>
              </w:rPr>
              <w:t>1</w:t>
            </w:r>
            <w:r>
              <w:rPr>
                <w:bCs w:val="0"/>
                <w:color w:val="auto"/>
              </w:rPr>
              <w:t>4</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.23</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138</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780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1.99</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140</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2.22</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212018007</w:t>
            </w:r>
          </w:p>
        </w:tc>
        <w:tc>
          <w:tcPr>
            <w:tcW w:w="391" w:type="pct"/>
            <w:vAlign w:val="center"/>
          </w:tcPr>
          <w:p>
            <w:pPr>
              <w:pStyle w:val="44"/>
              <w:spacing w:before="65" w:after="32"/>
              <w:rPr>
                <w:bCs w:val="0"/>
                <w:color w:val="auto"/>
              </w:rPr>
            </w:pPr>
            <w:r>
              <w:rPr>
                <w:rFonts w:hint="eastAsia"/>
                <w:bCs w:val="0"/>
                <w:color w:val="auto"/>
              </w:rPr>
              <w:t>1</w:t>
            </w:r>
            <w:r>
              <w:rPr>
                <w:bCs w:val="0"/>
                <w:color w:val="auto"/>
              </w:rPr>
              <w:t>5</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.24</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145</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740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1.97</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139</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2.33</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212018008</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.20</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155</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800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1.98</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140</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2.18</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212018008</w:t>
            </w:r>
          </w:p>
          <w:p>
            <w:pPr>
              <w:pStyle w:val="44"/>
              <w:spacing w:before="65" w:after="32" w:line="200" w:lineRule="exact"/>
              <w:rPr>
                <w:bCs w:val="0"/>
                <w:color w:val="auto"/>
              </w:rPr>
            </w:pPr>
            <w:r>
              <w:rPr>
                <w:rFonts w:hint="eastAsia"/>
                <w:bCs w:val="0"/>
                <w:color w:val="auto"/>
              </w:rPr>
              <w:t>（平行）</w:t>
            </w:r>
          </w:p>
        </w:tc>
        <w:tc>
          <w:tcPr>
            <w:tcW w:w="391" w:type="pct"/>
            <w:vAlign w:val="center"/>
          </w:tcPr>
          <w:p>
            <w:pPr>
              <w:pStyle w:val="44"/>
              <w:spacing w:before="65" w:after="32"/>
              <w:rPr>
                <w:bCs w:val="0"/>
                <w:color w:val="auto"/>
              </w:rPr>
            </w:pPr>
            <w:r>
              <w:rPr>
                <w:rFonts w:hint="eastAsia"/>
                <w:bCs w:val="0"/>
                <w:color w:val="auto"/>
              </w:rPr>
              <w:t>1</w:t>
            </w:r>
            <w:r>
              <w:rPr>
                <w:bCs w:val="0"/>
                <w:color w:val="auto"/>
              </w:rPr>
              <w:t>6</w:t>
            </w:r>
            <w:r>
              <w:rPr>
                <w:rFonts w:hint="eastAsia"/>
                <w:bCs w:val="0"/>
                <w:color w:val="auto"/>
              </w:rPr>
              <w:t>:10</w:t>
            </w:r>
          </w:p>
        </w:tc>
        <w:tc>
          <w:tcPr>
            <w:tcW w:w="493" w:type="pct"/>
            <w:vAlign w:val="center"/>
          </w:tcPr>
          <w:p>
            <w:pPr>
              <w:pStyle w:val="44"/>
              <w:spacing w:before="65" w:after="32"/>
              <w:rPr>
                <w:bCs w:val="0"/>
                <w:color w:val="auto"/>
              </w:rPr>
            </w:pPr>
            <w:r>
              <w:rPr>
                <w:rFonts w:hint="eastAsia"/>
                <w:bCs w:val="0"/>
                <w:color w:val="auto"/>
              </w:rPr>
              <w:t>淡黄、浑浊</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.20</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155</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800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1.99</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bCs w:val="0"/>
              </w:rPr>
              <w:t>140</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2.22</w:t>
            </w:r>
          </w:p>
        </w:tc>
        <w:tc>
          <w:tcPr>
            <w:tcW w:w="310" w:type="pct"/>
            <w:shd w:val="clear" w:color="auto" w:fill="auto"/>
            <w:vAlign w:val="center"/>
          </w:tcPr>
          <w:p>
            <w:pPr>
              <w:pStyle w:val="44"/>
              <w:spacing w:before="65" w:after="32"/>
              <w:rPr>
                <w:bCs w:val="0"/>
                <w:color w:val="auto"/>
              </w:rPr>
            </w:pPr>
            <w:r>
              <w:rPr>
                <w:rFonts w:hint="eastAsia"/>
                <w:bCs w:val="0"/>
                <w:color w:val="auto"/>
              </w:rPr>
              <w:t>2</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Cs w:val="0"/>
                <w:color w:val="auto"/>
              </w:rPr>
            </w:pPr>
          </w:p>
        </w:tc>
        <w:tc>
          <w:tcPr>
            <w:tcW w:w="491" w:type="pct"/>
            <w:vMerge w:val="continue"/>
            <w:vAlign w:val="center"/>
          </w:tcPr>
          <w:p>
            <w:pPr>
              <w:pStyle w:val="44"/>
              <w:spacing w:before="65" w:after="32"/>
              <w:rPr>
                <w:bCs w:val="0"/>
                <w:color w:val="auto"/>
              </w:rPr>
            </w:pPr>
          </w:p>
        </w:tc>
        <w:tc>
          <w:tcPr>
            <w:tcW w:w="1524" w:type="pct"/>
            <w:gridSpan w:val="3"/>
            <w:vAlign w:val="center"/>
          </w:tcPr>
          <w:p>
            <w:pPr>
              <w:pStyle w:val="44"/>
              <w:spacing w:before="65" w:after="32"/>
              <w:rPr>
                <w:bCs w:val="0"/>
                <w:color w:val="auto"/>
              </w:rPr>
            </w:pPr>
            <w:r>
              <w:rPr>
                <w:rFonts w:hint="eastAsia"/>
                <w:bCs w:val="0"/>
                <w:color w:val="auto"/>
              </w:rPr>
              <w:t>日均值</w:t>
            </w:r>
          </w:p>
        </w:tc>
        <w:tc>
          <w:tcPr>
            <w:tcW w:w="385" w:type="pct"/>
            <w:shd w:val="clear" w:color="auto" w:fill="auto"/>
            <w:vAlign w:val="center"/>
          </w:tcPr>
          <w:p>
            <w:pPr>
              <w:pStyle w:val="44"/>
              <w:spacing w:before="65" w:after="32"/>
              <w:rPr>
                <w:bCs w:val="0"/>
                <w:color w:val="auto"/>
              </w:rPr>
            </w:pPr>
            <w:r>
              <w:rPr>
                <w:rFonts w:hint="eastAsia"/>
                <w:bCs w:val="0"/>
                <w:color w:val="auto"/>
              </w:rPr>
              <w:t>7</w:t>
            </w:r>
            <w:r>
              <w:rPr>
                <w:bCs w:val="0"/>
                <w:color w:val="auto"/>
              </w:rPr>
              <w:t>.20</w:t>
            </w:r>
            <w:r>
              <w:rPr>
                <w:rFonts w:hint="eastAsia"/>
                <w:bCs w:val="0"/>
                <w:color w:val="auto"/>
              </w:rPr>
              <w:t>~</w:t>
            </w:r>
            <w:r>
              <w:rPr>
                <w:bCs w:val="0"/>
                <w:color w:val="auto"/>
              </w:rPr>
              <w:t>7.26</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148.6</w:t>
            </w:r>
          </w:p>
        </w:tc>
        <w:tc>
          <w:tcPr>
            <w:tcW w:w="448"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780</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1.99</w:t>
            </w:r>
            <w:r>
              <w:rPr>
                <w:bCs w:val="0"/>
                <w:color w:val="auto"/>
              </w:rPr>
              <w:t>×10</w:t>
            </w:r>
            <w:r>
              <w:rPr>
                <w:bCs w:val="0"/>
                <w:color w:val="auto"/>
                <w:vertAlign w:val="superscript"/>
              </w:rPr>
              <w:t>3</w:t>
            </w:r>
          </w:p>
        </w:tc>
        <w:tc>
          <w:tcPr>
            <w:tcW w:w="399" w:type="pct"/>
            <w:shd w:val="clear" w:color="auto" w:fill="auto"/>
            <w:vAlign w:val="center"/>
          </w:tcPr>
          <w:p>
            <w:pPr>
              <w:pStyle w:val="44"/>
              <w:spacing w:before="65" w:after="32"/>
              <w:rPr>
                <w:bCs w:val="0"/>
              </w:rPr>
            </w:pPr>
            <w:r>
              <w:rPr>
                <w:rFonts w:hint="eastAsia"/>
                <w:bCs w:val="0"/>
              </w:rPr>
              <w:t>1</w:t>
            </w:r>
            <w:r>
              <w:rPr>
                <w:bCs w:val="0"/>
              </w:rPr>
              <w:t>39.4</w:t>
            </w:r>
          </w:p>
        </w:tc>
        <w:tc>
          <w:tcPr>
            <w:tcW w:w="305"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2.25</w:t>
            </w:r>
          </w:p>
        </w:tc>
        <w:tc>
          <w:tcPr>
            <w:tcW w:w="310" w:type="pct"/>
            <w:shd w:val="clear" w:color="auto" w:fill="auto"/>
            <w:vAlign w:val="center"/>
          </w:tcPr>
          <w:p>
            <w:pPr>
              <w:pStyle w:val="44"/>
              <w:spacing w:before="65" w:after="32"/>
              <w:rPr>
                <w:bCs w:val="0"/>
              </w:rPr>
            </w:pPr>
            <w:r>
              <w:rPr>
                <w:rFonts w:hint="eastAsia"/>
                <w:bCs w:val="0"/>
              </w:rPr>
              <w:t>2</w:t>
            </w:r>
            <w:r>
              <w:rPr>
                <w:bCs w:val="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restart"/>
            <w:vAlign w:val="center"/>
          </w:tcPr>
          <w:p>
            <w:pPr>
              <w:pStyle w:val="44"/>
              <w:spacing w:before="65" w:after="32"/>
              <w:rPr>
                <w:b/>
                <w:bCs w:val="0"/>
                <w:color w:val="auto"/>
              </w:rPr>
            </w:pPr>
            <w:r>
              <w:rPr>
                <w:rFonts w:hint="eastAsia"/>
                <w:bCs w:val="0"/>
                <w:color w:val="auto"/>
              </w:rPr>
              <w:t>废水总排口</w:t>
            </w:r>
          </w:p>
        </w:tc>
        <w:tc>
          <w:tcPr>
            <w:tcW w:w="640" w:type="pct"/>
            <w:vAlign w:val="center"/>
          </w:tcPr>
          <w:p>
            <w:pPr>
              <w:pStyle w:val="44"/>
              <w:spacing w:before="65" w:after="32"/>
              <w:rPr>
                <w:b/>
                <w:bCs w:val="0"/>
                <w:color w:val="auto"/>
              </w:rPr>
            </w:pPr>
            <w:r>
              <w:rPr>
                <w:rFonts w:hint="eastAsia"/>
                <w:bCs w:val="0"/>
                <w:color w:val="auto"/>
              </w:rPr>
              <w:t>水</w:t>
            </w:r>
            <w:r>
              <w:rPr>
                <w:bCs w:val="0"/>
                <w:color w:val="auto"/>
              </w:rPr>
              <w:t>2212018009</w:t>
            </w:r>
          </w:p>
        </w:tc>
        <w:tc>
          <w:tcPr>
            <w:tcW w:w="391" w:type="pct"/>
            <w:vAlign w:val="center"/>
          </w:tcPr>
          <w:p>
            <w:pPr>
              <w:pStyle w:val="44"/>
              <w:spacing w:before="65" w:after="32"/>
              <w:rPr>
                <w:bCs w:val="0"/>
                <w:color w:val="auto"/>
              </w:rPr>
            </w:pPr>
            <w:r>
              <w:rPr>
                <w:rFonts w:hint="eastAsia"/>
                <w:bCs w:val="0"/>
                <w:color w:val="auto"/>
              </w:rPr>
              <w:t>13:20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.71</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32</w:t>
            </w:r>
          </w:p>
        </w:tc>
        <w:tc>
          <w:tcPr>
            <w:tcW w:w="448" w:type="pct"/>
            <w:shd w:val="clear" w:color="auto" w:fill="auto"/>
            <w:vAlign w:val="center"/>
          </w:tcPr>
          <w:p>
            <w:pPr>
              <w:pStyle w:val="44"/>
              <w:spacing w:before="65" w:after="32"/>
              <w:rPr>
                <w:bCs w:val="0"/>
              </w:rPr>
            </w:pPr>
            <w:r>
              <w:rPr>
                <w:bCs w:val="0"/>
              </w:rPr>
              <w:t>37.2</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120</w:t>
            </w:r>
          </w:p>
        </w:tc>
        <w:tc>
          <w:tcPr>
            <w:tcW w:w="399" w:type="pct"/>
            <w:shd w:val="clear" w:color="auto" w:fill="auto"/>
            <w:vAlign w:val="center"/>
          </w:tcPr>
          <w:p>
            <w:pPr>
              <w:pStyle w:val="44"/>
              <w:spacing w:before="65" w:after="32"/>
              <w:rPr>
                <w:bCs w:val="0"/>
              </w:rPr>
            </w:pPr>
            <w:r>
              <w:rPr>
                <w:bCs w:val="0"/>
              </w:rPr>
              <w:t>18.0</w:t>
            </w:r>
          </w:p>
        </w:tc>
        <w:tc>
          <w:tcPr>
            <w:tcW w:w="305" w:type="pct"/>
            <w:shd w:val="clear" w:color="auto" w:fill="auto"/>
            <w:vAlign w:val="center"/>
          </w:tcPr>
          <w:p>
            <w:pPr>
              <w:pStyle w:val="44"/>
              <w:spacing w:before="65" w:after="32"/>
              <w:rPr>
                <w:bCs w:val="0"/>
              </w:rPr>
            </w:pPr>
            <w:r>
              <w:rPr>
                <w:bCs w:val="0"/>
              </w:rPr>
              <w:t>0.91</w:t>
            </w:r>
          </w:p>
        </w:tc>
        <w:tc>
          <w:tcPr>
            <w:tcW w:w="310" w:type="pct"/>
            <w:shd w:val="clear" w:color="auto" w:fill="auto"/>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
                <w:bCs w:val="0"/>
                <w:color w:val="auto"/>
              </w:rPr>
            </w:pPr>
            <w:r>
              <w:rPr>
                <w:rFonts w:hint="eastAsia"/>
                <w:bCs w:val="0"/>
                <w:color w:val="auto"/>
              </w:rPr>
              <w:t>水2</w:t>
            </w:r>
            <w:r>
              <w:rPr>
                <w:bCs w:val="0"/>
                <w:color w:val="auto"/>
              </w:rPr>
              <w:t>212018010</w:t>
            </w:r>
          </w:p>
        </w:tc>
        <w:tc>
          <w:tcPr>
            <w:tcW w:w="391" w:type="pct"/>
            <w:vAlign w:val="center"/>
          </w:tcPr>
          <w:p>
            <w:pPr>
              <w:pStyle w:val="44"/>
              <w:spacing w:before="65" w:after="32"/>
              <w:rPr>
                <w:bCs w:val="0"/>
                <w:color w:val="auto"/>
              </w:rPr>
            </w:pPr>
            <w:r>
              <w:rPr>
                <w:rFonts w:hint="eastAsia"/>
                <w:bCs w:val="0"/>
                <w:color w:val="auto"/>
              </w:rPr>
              <w:t>1</w:t>
            </w:r>
            <w:r>
              <w:rPr>
                <w:bCs w:val="0"/>
                <w:color w:val="auto"/>
              </w:rPr>
              <w:t>4</w:t>
            </w:r>
            <w:r>
              <w:rPr>
                <w:rFonts w:hint="eastAsia"/>
                <w:bCs w:val="0"/>
                <w:color w:val="auto"/>
              </w:rPr>
              <w:t>:20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bCs w:val="0"/>
                <w:color w:val="auto"/>
              </w:rPr>
              <w:t>6.69</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32</w:t>
            </w:r>
          </w:p>
        </w:tc>
        <w:tc>
          <w:tcPr>
            <w:tcW w:w="448" w:type="pct"/>
            <w:shd w:val="clear" w:color="auto" w:fill="auto"/>
            <w:vAlign w:val="center"/>
          </w:tcPr>
          <w:p>
            <w:pPr>
              <w:pStyle w:val="44"/>
              <w:spacing w:before="65" w:after="32"/>
              <w:rPr>
                <w:bCs w:val="0"/>
              </w:rPr>
            </w:pPr>
            <w:r>
              <w:rPr>
                <w:bCs w:val="0"/>
              </w:rPr>
              <w:t>36.2</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118</w:t>
            </w:r>
          </w:p>
        </w:tc>
        <w:tc>
          <w:tcPr>
            <w:tcW w:w="399" w:type="pct"/>
            <w:shd w:val="clear" w:color="auto" w:fill="auto"/>
            <w:vAlign w:val="center"/>
          </w:tcPr>
          <w:p>
            <w:pPr>
              <w:pStyle w:val="44"/>
              <w:spacing w:before="65" w:after="32"/>
              <w:rPr>
                <w:bCs w:val="0"/>
              </w:rPr>
            </w:pPr>
            <w:r>
              <w:rPr>
                <w:bCs w:val="0"/>
              </w:rPr>
              <w:t>18.4</w:t>
            </w:r>
          </w:p>
        </w:tc>
        <w:tc>
          <w:tcPr>
            <w:tcW w:w="305" w:type="pct"/>
            <w:shd w:val="clear" w:color="auto" w:fill="auto"/>
            <w:vAlign w:val="center"/>
          </w:tcPr>
          <w:p>
            <w:pPr>
              <w:pStyle w:val="44"/>
              <w:spacing w:before="65" w:after="32"/>
              <w:rPr>
                <w:bCs w:val="0"/>
              </w:rPr>
            </w:pPr>
            <w:r>
              <w:rPr>
                <w:rFonts w:hint="eastAsia"/>
                <w:bCs w:val="0"/>
              </w:rPr>
              <w:t>0</w:t>
            </w:r>
            <w:r>
              <w:rPr>
                <w:bCs w:val="0"/>
              </w:rPr>
              <w:t>.89</w:t>
            </w:r>
          </w:p>
        </w:tc>
        <w:tc>
          <w:tcPr>
            <w:tcW w:w="310" w:type="pct"/>
            <w:shd w:val="clear" w:color="auto" w:fill="auto"/>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
                <w:bCs w:val="0"/>
                <w:color w:val="auto"/>
              </w:rPr>
            </w:pPr>
            <w:r>
              <w:rPr>
                <w:rFonts w:hint="eastAsia"/>
                <w:bCs w:val="0"/>
                <w:color w:val="auto"/>
              </w:rPr>
              <w:t>水2</w:t>
            </w:r>
            <w:r>
              <w:rPr>
                <w:bCs w:val="0"/>
                <w:color w:val="auto"/>
              </w:rPr>
              <w:t>212018011</w:t>
            </w:r>
          </w:p>
        </w:tc>
        <w:tc>
          <w:tcPr>
            <w:tcW w:w="391" w:type="pct"/>
            <w:vAlign w:val="center"/>
          </w:tcPr>
          <w:p>
            <w:pPr>
              <w:pStyle w:val="44"/>
              <w:spacing w:before="65" w:after="32"/>
              <w:rPr>
                <w:bCs w:val="0"/>
                <w:color w:val="auto"/>
              </w:rPr>
            </w:pPr>
            <w:r>
              <w:rPr>
                <w:rFonts w:hint="eastAsia"/>
                <w:bCs w:val="0"/>
                <w:color w:val="auto"/>
              </w:rPr>
              <w:t>15:2</w:t>
            </w:r>
            <w:r>
              <w:rPr>
                <w:bCs w:val="0"/>
                <w:color w:val="auto"/>
              </w:rPr>
              <w:t>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.73</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34</w:t>
            </w:r>
          </w:p>
        </w:tc>
        <w:tc>
          <w:tcPr>
            <w:tcW w:w="448" w:type="pct"/>
            <w:shd w:val="clear" w:color="auto" w:fill="auto"/>
            <w:vAlign w:val="center"/>
          </w:tcPr>
          <w:p>
            <w:pPr>
              <w:pStyle w:val="44"/>
              <w:spacing w:before="65" w:after="32"/>
              <w:rPr>
                <w:bCs w:val="0"/>
              </w:rPr>
            </w:pPr>
            <w:r>
              <w:rPr>
                <w:bCs w:val="0"/>
              </w:rPr>
              <w:t>37.7</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123</w:t>
            </w:r>
          </w:p>
        </w:tc>
        <w:tc>
          <w:tcPr>
            <w:tcW w:w="399" w:type="pct"/>
            <w:shd w:val="clear" w:color="auto" w:fill="auto"/>
            <w:vAlign w:val="center"/>
          </w:tcPr>
          <w:p>
            <w:pPr>
              <w:pStyle w:val="44"/>
              <w:spacing w:before="65" w:after="32"/>
              <w:rPr>
                <w:bCs w:val="0"/>
              </w:rPr>
            </w:pPr>
            <w:r>
              <w:rPr>
                <w:bCs w:val="0"/>
              </w:rPr>
              <w:t>18.5</w:t>
            </w:r>
          </w:p>
        </w:tc>
        <w:tc>
          <w:tcPr>
            <w:tcW w:w="305" w:type="pct"/>
            <w:shd w:val="clear" w:color="auto" w:fill="auto"/>
            <w:vAlign w:val="center"/>
          </w:tcPr>
          <w:p>
            <w:pPr>
              <w:pStyle w:val="44"/>
              <w:spacing w:before="65" w:after="32"/>
              <w:rPr>
                <w:bCs w:val="0"/>
              </w:rPr>
            </w:pPr>
            <w:r>
              <w:rPr>
                <w:rFonts w:hint="eastAsia"/>
                <w:bCs w:val="0"/>
              </w:rPr>
              <w:t>0</w:t>
            </w:r>
            <w:r>
              <w:rPr>
                <w:bCs w:val="0"/>
              </w:rPr>
              <w:t>.90</w:t>
            </w:r>
          </w:p>
        </w:tc>
        <w:tc>
          <w:tcPr>
            <w:tcW w:w="310" w:type="pct"/>
            <w:shd w:val="clear" w:color="auto" w:fill="auto"/>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
                <w:bCs w:val="0"/>
                <w:color w:val="auto"/>
              </w:rPr>
            </w:pPr>
            <w:r>
              <w:rPr>
                <w:rFonts w:hint="eastAsia"/>
                <w:bCs w:val="0"/>
                <w:color w:val="auto"/>
              </w:rPr>
              <w:t>水2</w:t>
            </w:r>
            <w:r>
              <w:rPr>
                <w:bCs w:val="0"/>
                <w:color w:val="auto"/>
              </w:rPr>
              <w:t>212018012</w:t>
            </w:r>
          </w:p>
        </w:tc>
        <w:tc>
          <w:tcPr>
            <w:tcW w:w="391" w:type="pct"/>
            <w:vAlign w:val="center"/>
          </w:tcPr>
          <w:p>
            <w:pPr>
              <w:pStyle w:val="44"/>
              <w:spacing w:before="65" w:after="32"/>
              <w:rPr>
                <w:bCs w:val="0"/>
                <w:color w:val="auto"/>
              </w:rPr>
            </w:pPr>
            <w:r>
              <w:rPr>
                <w:rFonts w:hint="eastAsia"/>
                <w:bCs w:val="0"/>
                <w:color w:val="auto"/>
              </w:rPr>
              <w:t>16:2</w:t>
            </w:r>
            <w:r>
              <w:rPr>
                <w:bCs w:val="0"/>
                <w:color w:val="auto"/>
              </w:rPr>
              <w:t>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70</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28</w:t>
            </w:r>
          </w:p>
        </w:tc>
        <w:tc>
          <w:tcPr>
            <w:tcW w:w="448" w:type="pct"/>
            <w:shd w:val="clear" w:color="auto" w:fill="auto"/>
            <w:vAlign w:val="center"/>
          </w:tcPr>
          <w:p>
            <w:pPr>
              <w:pStyle w:val="44"/>
              <w:spacing w:before="65" w:after="32"/>
              <w:rPr>
                <w:bCs w:val="0"/>
              </w:rPr>
            </w:pPr>
            <w:r>
              <w:rPr>
                <w:bCs w:val="0"/>
              </w:rPr>
              <w:t>36.7</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124</w:t>
            </w:r>
          </w:p>
        </w:tc>
        <w:tc>
          <w:tcPr>
            <w:tcW w:w="399" w:type="pct"/>
            <w:shd w:val="clear" w:color="auto" w:fill="auto"/>
            <w:vAlign w:val="center"/>
          </w:tcPr>
          <w:p>
            <w:pPr>
              <w:pStyle w:val="44"/>
              <w:spacing w:before="65" w:after="32"/>
              <w:rPr>
                <w:bCs w:val="0"/>
              </w:rPr>
            </w:pPr>
            <w:r>
              <w:rPr>
                <w:bCs w:val="0"/>
              </w:rPr>
              <w:t>18.2</w:t>
            </w:r>
          </w:p>
        </w:tc>
        <w:tc>
          <w:tcPr>
            <w:tcW w:w="305" w:type="pct"/>
            <w:shd w:val="clear" w:color="auto" w:fill="auto"/>
            <w:vAlign w:val="center"/>
          </w:tcPr>
          <w:p>
            <w:pPr>
              <w:pStyle w:val="44"/>
              <w:spacing w:before="65" w:after="32"/>
              <w:rPr>
                <w:bCs w:val="0"/>
              </w:rPr>
            </w:pPr>
            <w:r>
              <w:rPr>
                <w:rFonts w:hint="eastAsia"/>
                <w:bCs w:val="0"/>
              </w:rPr>
              <w:t>0</w:t>
            </w:r>
            <w:r>
              <w:rPr>
                <w:bCs w:val="0"/>
              </w:rPr>
              <w:t>.89</w:t>
            </w:r>
          </w:p>
        </w:tc>
        <w:tc>
          <w:tcPr>
            <w:tcW w:w="310" w:type="pct"/>
            <w:shd w:val="clear" w:color="auto" w:fill="auto"/>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640" w:type="pct"/>
            <w:vAlign w:val="center"/>
          </w:tcPr>
          <w:p>
            <w:pPr>
              <w:pStyle w:val="44"/>
              <w:spacing w:before="65" w:after="32"/>
              <w:rPr>
                <w:bCs w:val="0"/>
                <w:color w:val="auto"/>
              </w:rPr>
            </w:pPr>
            <w:r>
              <w:rPr>
                <w:rFonts w:hint="eastAsia"/>
                <w:bCs w:val="0"/>
                <w:color w:val="auto"/>
              </w:rPr>
              <w:t>水2</w:t>
            </w:r>
            <w:r>
              <w:rPr>
                <w:bCs w:val="0"/>
                <w:color w:val="auto"/>
              </w:rPr>
              <w:t>212018012</w:t>
            </w:r>
          </w:p>
          <w:p>
            <w:pPr>
              <w:pStyle w:val="44"/>
              <w:spacing w:before="65" w:after="32" w:line="200" w:lineRule="exact"/>
              <w:rPr>
                <w:b/>
                <w:bCs w:val="0"/>
                <w:color w:val="auto"/>
              </w:rPr>
            </w:pPr>
            <w:r>
              <w:rPr>
                <w:rFonts w:hint="eastAsia"/>
                <w:bCs w:val="0"/>
                <w:color w:val="auto"/>
              </w:rPr>
              <w:t>（平行）</w:t>
            </w:r>
          </w:p>
        </w:tc>
        <w:tc>
          <w:tcPr>
            <w:tcW w:w="391" w:type="pct"/>
            <w:vAlign w:val="center"/>
          </w:tcPr>
          <w:p>
            <w:pPr>
              <w:pStyle w:val="44"/>
              <w:spacing w:before="65" w:after="32"/>
              <w:rPr>
                <w:bCs w:val="0"/>
                <w:color w:val="auto"/>
              </w:rPr>
            </w:pPr>
            <w:r>
              <w:rPr>
                <w:rFonts w:hint="eastAsia"/>
                <w:bCs w:val="0"/>
                <w:color w:val="auto"/>
              </w:rPr>
              <w:t>16:20</w:t>
            </w:r>
          </w:p>
        </w:tc>
        <w:tc>
          <w:tcPr>
            <w:tcW w:w="493" w:type="pct"/>
            <w:vAlign w:val="center"/>
          </w:tcPr>
          <w:p>
            <w:pPr>
              <w:pStyle w:val="44"/>
              <w:spacing w:before="65" w:after="32"/>
              <w:rPr>
                <w:b/>
                <w:bCs w:val="0"/>
                <w:color w:val="auto"/>
              </w:rPr>
            </w:pPr>
            <w:r>
              <w:rPr>
                <w:rFonts w:hint="eastAsia"/>
                <w:bCs w:val="0"/>
                <w:color w:val="auto"/>
              </w:rPr>
              <w:t>黄色、浑浊</w:t>
            </w:r>
          </w:p>
        </w:tc>
        <w:tc>
          <w:tcPr>
            <w:tcW w:w="385" w:type="pct"/>
            <w:shd w:val="clear" w:color="auto" w:fill="auto"/>
            <w:vAlign w:val="center"/>
          </w:tcPr>
          <w:p>
            <w:pPr>
              <w:pStyle w:val="44"/>
              <w:spacing w:before="65" w:after="32"/>
              <w:rPr>
                <w:bCs w:val="0"/>
                <w:color w:val="auto"/>
              </w:rPr>
            </w:pPr>
            <w:r>
              <w:rPr>
                <w:rFonts w:hint="eastAsia"/>
                <w:bCs w:val="0"/>
                <w:color w:val="auto"/>
              </w:rPr>
              <w:t>6</w:t>
            </w:r>
            <w:r>
              <w:rPr>
                <w:bCs w:val="0"/>
                <w:color w:val="auto"/>
              </w:rPr>
              <w:t>.70</w:t>
            </w:r>
          </w:p>
        </w:tc>
        <w:tc>
          <w:tcPr>
            <w:tcW w:w="350" w:type="pct"/>
            <w:shd w:val="clear" w:color="auto" w:fill="auto"/>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28</w:t>
            </w:r>
          </w:p>
        </w:tc>
        <w:tc>
          <w:tcPr>
            <w:tcW w:w="448" w:type="pct"/>
            <w:shd w:val="clear" w:color="auto" w:fill="auto"/>
            <w:vAlign w:val="center"/>
          </w:tcPr>
          <w:p>
            <w:pPr>
              <w:pStyle w:val="44"/>
              <w:spacing w:before="65" w:after="32"/>
              <w:rPr>
                <w:bCs w:val="0"/>
              </w:rPr>
            </w:pPr>
            <w:r>
              <w:rPr>
                <w:bCs w:val="0"/>
              </w:rPr>
              <w:t>34.7</w:t>
            </w:r>
          </w:p>
        </w:tc>
        <w:tc>
          <w:tcPr>
            <w:tcW w:w="382" w:type="pct"/>
            <w:shd w:val="clear" w:color="auto" w:fill="auto"/>
            <w:vAlign w:val="center"/>
          </w:tcPr>
          <w:p>
            <w:pPr>
              <w:pStyle w:val="44"/>
              <w:spacing w:before="65" w:after="32"/>
              <w:rPr>
                <w:rFonts w:hint="default" w:eastAsiaTheme="minorEastAsia"/>
                <w:bCs w:val="0"/>
                <w:lang w:val="en-US" w:eastAsia="zh-CN"/>
              </w:rPr>
            </w:pPr>
            <w:r>
              <w:rPr>
                <w:rFonts w:hint="eastAsia"/>
                <w:bCs w:val="0"/>
                <w:lang w:val="en-US" w:eastAsia="zh-CN"/>
              </w:rPr>
              <w:t>123</w:t>
            </w:r>
          </w:p>
        </w:tc>
        <w:tc>
          <w:tcPr>
            <w:tcW w:w="399" w:type="pct"/>
            <w:shd w:val="clear" w:color="auto" w:fill="auto"/>
            <w:vAlign w:val="center"/>
          </w:tcPr>
          <w:p>
            <w:pPr>
              <w:pStyle w:val="44"/>
              <w:spacing w:before="65" w:after="32"/>
              <w:rPr>
                <w:bCs w:val="0"/>
              </w:rPr>
            </w:pPr>
            <w:r>
              <w:rPr>
                <w:bCs w:val="0"/>
              </w:rPr>
              <w:t>18.2</w:t>
            </w:r>
          </w:p>
        </w:tc>
        <w:tc>
          <w:tcPr>
            <w:tcW w:w="305" w:type="pct"/>
            <w:shd w:val="clear" w:color="auto" w:fill="auto"/>
            <w:vAlign w:val="center"/>
          </w:tcPr>
          <w:p>
            <w:pPr>
              <w:pStyle w:val="44"/>
              <w:spacing w:before="65" w:after="32"/>
              <w:rPr>
                <w:bCs w:val="0"/>
              </w:rPr>
            </w:pPr>
            <w:r>
              <w:rPr>
                <w:rFonts w:hint="eastAsia"/>
                <w:bCs w:val="0"/>
              </w:rPr>
              <w:t>0</w:t>
            </w:r>
            <w:r>
              <w:rPr>
                <w:bCs w:val="0"/>
              </w:rPr>
              <w:t>.91</w:t>
            </w:r>
          </w:p>
        </w:tc>
        <w:tc>
          <w:tcPr>
            <w:tcW w:w="310" w:type="pct"/>
            <w:shd w:val="clear" w:color="auto" w:fill="auto"/>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pStyle w:val="44"/>
              <w:spacing w:before="65" w:after="32"/>
              <w:rPr>
                <w:b/>
                <w:bCs w:val="0"/>
                <w:color w:val="auto"/>
              </w:rPr>
            </w:pPr>
          </w:p>
        </w:tc>
        <w:tc>
          <w:tcPr>
            <w:tcW w:w="491" w:type="pct"/>
            <w:vMerge w:val="continue"/>
            <w:vAlign w:val="center"/>
          </w:tcPr>
          <w:p>
            <w:pPr>
              <w:pStyle w:val="44"/>
              <w:spacing w:before="65" w:after="32"/>
              <w:rPr>
                <w:b/>
                <w:bCs w:val="0"/>
                <w:color w:val="auto"/>
              </w:rPr>
            </w:pPr>
          </w:p>
        </w:tc>
        <w:tc>
          <w:tcPr>
            <w:tcW w:w="1524" w:type="pct"/>
            <w:gridSpan w:val="3"/>
            <w:vAlign w:val="center"/>
          </w:tcPr>
          <w:p>
            <w:pPr>
              <w:pStyle w:val="44"/>
              <w:spacing w:before="65" w:after="32"/>
              <w:rPr>
                <w:b/>
                <w:bCs w:val="0"/>
                <w:color w:val="auto"/>
              </w:rPr>
            </w:pPr>
            <w:r>
              <w:rPr>
                <w:rFonts w:hint="eastAsia"/>
                <w:bCs w:val="0"/>
                <w:color w:val="auto"/>
              </w:rPr>
              <w:t>日均</w:t>
            </w:r>
            <w:r>
              <w:rPr>
                <w:bCs w:val="0"/>
                <w:color w:val="auto"/>
              </w:rPr>
              <w:t>值</w:t>
            </w:r>
          </w:p>
        </w:tc>
        <w:tc>
          <w:tcPr>
            <w:tcW w:w="385" w:type="pct"/>
            <w:vAlign w:val="center"/>
          </w:tcPr>
          <w:p>
            <w:pPr>
              <w:pStyle w:val="44"/>
              <w:spacing w:before="65" w:after="32"/>
              <w:rPr>
                <w:bCs w:val="0"/>
                <w:color w:val="auto"/>
              </w:rPr>
            </w:pPr>
            <w:r>
              <w:rPr>
                <w:rFonts w:hint="eastAsia"/>
                <w:bCs w:val="0"/>
                <w:color w:val="auto"/>
              </w:rPr>
              <w:t>6</w:t>
            </w:r>
            <w:r>
              <w:rPr>
                <w:bCs w:val="0"/>
                <w:color w:val="auto"/>
              </w:rPr>
              <w:t>.69</w:t>
            </w:r>
            <w:r>
              <w:rPr>
                <w:rFonts w:hint="eastAsia"/>
                <w:bCs w:val="0"/>
                <w:color w:val="auto"/>
              </w:rPr>
              <w:t>~</w:t>
            </w:r>
            <w:r>
              <w:rPr>
                <w:bCs w:val="0"/>
                <w:color w:val="auto"/>
              </w:rPr>
              <w:t>6.73</w:t>
            </w:r>
          </w:p>
        </w:tc>
        <w:tc>
          <w:tcPr>
            <w:tcW w:w="350" w:type="pct"/>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30.8</w:t>
            </w:r>
          </w:p>
        </w:tc>
        <w:tc>
          <w:tcPr>
            <w:tcW w:w="448" w:type="pct"/>
            <w:vAlign w:val="center"/>
          </w:tcPr>
          <w:p>
            <w:pPr>
              <w:pStyle w:val="44"/>
              <w:spacing w:before="65" w:after="32"/>
              <w:rPr>
                <w:bCs w:val="0"/>
                <w:color w:val="auto"/>
              </w:rPr>
            </w:pPr>
            <w:r>
              <w:rPr>
                <w:rFonts w:hint="eastAsia"/>
                <w:bCs w:val="0"/>
                <w:color w:val="auto"/>
              </w:rPr>
              <w:t>3</w:t>
            </w:r>
            <w:r>
              <w:rPr>
                <w:bCs w:val="0"/>
                <w:color w:val="auto"/>
              </w:rPr>
              <w:t>6.5</w:t>
            </w:r>
          </w:p>
        </w:tc>
        <w:tc>
          <w:tcPr>
            <w:tcW w:w="382" w:type="pct"/>
            <w:vAlign w:val="center"/>
          </w:tcPr>
          <w:p>
            <w:pPr>
              <w:pStyle w:val="44"/>
              <w:spacing w:before="65" w:after="32"/>
              <w:rPr>
                <w:rFonts w:hint="default" w:eastAsiaTheme="minorEastAsia"/>
                <w:bCs w:val="0"/>
                <w:color w:val="auto"/>
                <w:lang w:val="en-US" w:eastAsia="zh-CN"/>
              </w:rPr>
            </w:pPr>
            <w:r>
              <w:rPr>
                <w:rFonts w:hint="eastAsia"/>
                <w:bCs w:val="0"/>
                <w:color w:val="auto"/>
                <w:lang w:val="en-US" w:eastAsia="zh-CN"/>
              </w:rPr>
              <w:t>121.6</w:t>
            </w:r>
          </w:p>
        </w:tc>
        <w:tc>
          <w:tcPr>
            <w:tcW w:w="399" w:type="pct"/>
            <w:vAlign w:val="center"/>
          </w:tcPr>
          <w:p>
            <w:pPr>
              <w:pStyle w:val="44"/>
              <w:spacing w:before="65" w:after="32"/>
              <w:rPr>
                <w:bCs w:val="0"/>
                <w:color w:val="auto"/>
              </w:rPr>
            </w:pPr>
            <w:r>
              <w:rPr>
                <w:rFonts w:hint="eastAsia"/>
                <w:bCs w:val="0"/>
                <w:color w:val="auto"/>
              </w:rPr>
              <w:t>1</w:t>
            </w:r>
            <w:r>
              <w:rPr>
                <w:bCs w:val="0"/>
                <w:color w:val="auto"/>
              </w:rPr>
              <w:t>8.3</w:t>
            </w:r>
          </w:p>
        </w:tc>
        <w:tc>
          <w:tcPr>
            <w:tcW w:w="305" w:type="pct"/>
            <w:vAlign w:val="center"/>
          </w:tcPr>
          <w:p>
            <w:pPr>
              <w:pStyle w:val="44"/>
              <w:spacing w:before="65" w:after="32"/>
              <w:rPr>
                <w:bCs w:val="0"/>
                <w:color w:val="auto"/>
              </w:rPr>
            </w:pPr>
            <w:r>
              <w:rPr>
                <w:rFonts w:hint="eastAsia"/>
                <w:bCs w:val="0"/>
                <w:color w:val="auto"/>
              </w:rPr>
              <w:t>0.</w:t>
            </w:r>
            <w:r>
              <w:rPr>
                <w:bCs w:val="0"/>
                <w:color w:val="auto"/>
              </w:rPr>
              <w:t>90</w:t>
            </w:r>
          </w:p>
        </w:tc>
        <w:tc>
          <w:tcPr>
            <w:tcW w:w="310" w:type="pct"/>
            <w:vAlign w:val="center"/>
          </w:tcPr>
          <w:p>
            <w:pPr>
              <w:pStyle w:val="44"/>
              <w:spacing w:before="65" w:after="32"/>
              <w:rPr>
                <w:bCs w:val="0"/>
                <w:color w:val="auto"/>
              </w:rPr>
            </w:pPr>
            <w:r>
              <w:rPr>
                <w:rFonts w:hint="eastAsia"/>
                <w:bCs w:val="0"/>
                <w:color w:val="auto"/>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1" w:type="pct"/>
            <w:gridSpan w:val="5"/>
            <w:vAlign w:val="center"/>
          </w:tcPr>
          <w:p>
            <w:pPr>
              <w:pStyle w:val="44"/>
              <w:spacing w:before="65" w:after="32"/>
              <w:rPr>
                <w:b/>
                <w:bCs w:val="0"/>
                <w:color w:val="auto"/>
              </w:rPr>
            </w:pPr>
            <w:r>
              <w:rPr>
                <w:rFonts w:hint="eastAsia"/>
                <w:bCs w:val="0"/>
                <w:color w:val="auto"/>
              </w:rPr>
              <w:t>废水纳管</w:t>
            </w:r>
            <w:r>
              <w:rPr>
                <w:bCs w:val="0"/>
                <w:color w:val="auto"/>
              </w:rPr>
              <w:t>标准值</w:t>
            </w:r>
          </w:p>
        </w:tc>
        <w:tc>
          <w:tcPr>
            <w:tcW w:w="385" w:type="pct"/>
            <w:vAlign w:val="center"/>
          </w:tcPr>
          <w:p>
            <w:pPr>
              <w:pStyle w:val="44"/>
              <w:spacing w:before="65" w:after="32"/>
              <w:rPr>
                <w:b/>
                <w:bCs w:val="0"/>
                <w:color w:val="auto"/>
              </w:rPr>
            </w:pPr>
            <w:r>
              <w:rPr>
                <w:bCs w:val="0"/>
                <w:color w:val="auto"/>
              </w:rPr>
              <w:t>6.0</w:t>
            </w:r>
            <w:r>
              <w:rPr>
                <w:rFonts w:hint="eastAsia" w:ascii="宋体" w:hAnsi="宋体"/>
                <w:bCs w:val="0"/>
                <w:color w:val="auto"/>
              </w:rPr>
              <w:t>～</w:t>
            </w:r>
            <w:r>
              <w:rPr>
                <w:bCs w:val="0"/>
                <w:color w:val="auto"/>
              </w:rPr>
              <w:t>9.0</w:t>
            </w:r>
          </w:p>
        </w:tc>
        <w:tc>
          <w:tcPr>
            <w:tcW w:w="350" w:type="pct"/>
            <w:vAlign w:val="center"/>
          </w:tcPr>
          <w:p>
            <w:pPr>
              <w:pStyle w:val="44"/>
              <w:spacing w:before="65" w:after="32"/>
              <w:rPr>
                <w:bCs w:val="0"/>
                <w:color w:val="auto"/>
              </w:rPr>
            </w:pPr>
            <w:r>
              <w:rPr>
                <w:bCs w:val="0"/>
                <w:color w:val="auto"/>
              </w:rPr>
              <w:t>100</w:t>
            </w:r>
          </w:p>
        </w:tc>
        <w:tc>
          <w:tcPr>
            <w:tcW w:w="448" w:type="pct"/>
            <w:vAlign w:val="center"/>
          </w:tcPr>
          <w:p>
            <w:pPr>
              <w:pStyle w:val="44"/>
              <w:spacing w:before="65" w:after="32"/>
              <w:rPr>
                <w:bCs w:val="0"/>
                <w:color w:val="auto"/>
              </w:rPr>
            </w:pPr>
            <w:r>
              <w:rPr>
                <w:bCs w:val="0"/>
                <w:color w:val="auto"/>
              </w:rPr>
              <w:t>50</w:t>
            </w:r>
          </w:p>
        </w:tc>
        <w:tc>
          <w:tcPr>
            <w:tcW w:w="382" w:type="pct"/>
            <w:vAlign w:val="center"/>
          </w:tcPr>
          <w:p>
            <w:pPr>
              <w:pStyle w:val="44"/>
              <w:spacing w:before="65" w:after="32"/>
              <w:rPr>
                <w:bCs w:val="0"/>
                <w:color w:val="auto"/>
              </w:rPr>
            </w:pPr>
            <w:r>
              <w:rPr>
                <w:bCs w:val="0"/>
                <w:color w:val="auto"/>
              </w:rPr>
              <w:t>200</w:t>
            </w:r>
          </w:p>
        </w:tc>
        <w:tc>
          <w:tcPr>
            <w:tcW w:w="399" w:type="pct"/>
            <w:vAlign w:val="center"/>
          </w:tcPr>
          <w:p>
            <w:pPr>
              <w:pStyle w:val="44"/>
              <w:spacing w:before="65" w:after="32"/>
              <w:rPr>
                <w:bCs w:val="0"/>
                <w:color w:val="auto"/>
              </w:rPr>
            </w:pPr>
            <w:r>
              <w:rPr>
                <w:bCs w:val="0"/>
                <w:color w:val="auto"/>
              </w:rPr>
              <w:t>20</w:t>
            </w:r>
          </w:p>
        </w:tc>
        <w:tc>
          <w:tcPr>
            <w:tcW w:w="305" w:type="pct"/>
            <w:vAlign w:val="center"/>
          </w:tcPr>
          <w:p>
            <w:pPr>
              <w:pStyle w:val="44"/>
              <w:spacing w:before="65" w:after="32"/>
              <w:rPr>
                <w:bCs w:val="0"/>
                <w:color w:val="auto"/>
              </w:rPr>
            </w:pPr>
            <w:r>
              <w:rPr>
                <w:bCs w:val="0"/>
                <w:color w:val="auto"/>
              </w:rPr>
              <w:t>1.5</w:t>
            </w:r>
          </w:p>
        </w:tc>
        <w:tc>
          <w:tcPr>
            <w:tcW w:w="310" w:type="pct"/>
            <w:vAlign w:val="center"/>
          </w:tcPr>
          <w:p>
            <w:pPr>
              <w:pStyle w:val="44"/>
              <w:spacing w:before="65" w:after="32"/>
              <w:rPr>
                <w:bCs w:val="0"/>
                <w:color w:val="auto"/>
              </w:rPr>
            </w:pPr>
            <w:r>
              <w:rPr>
                <w:rFonts w:hint="eastAsia"/>
                <w:bCs w:val="0"/>
                <w:color w:val="auto"/>
              </w:rPr>
              <w:t>8</w:t>
            </w:r>
            <w:r>
              <w:rPr>
                <w:bCs w:val="0"/>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1" w:type="pct"/>
            <w:gridSpan w:val="5"/>
            <w:vAlign w:val="center"/>
          </w:tcPr>
          <w:p>
            <w:pPr>
              <w:pStyle w:val="44"/>
              <w:spacing w:before="65" w:after="32"/>
              <w:rPr>
                <w:b/>
                <w:bCs w:val="0"/>
                <w:color w:val="auto"/>
              </w:rPr>
            </w:pPr>
            <w:r>
              <w:rPr>
                <w:bCs w:val="0"/>
                <w:color w:val="auto"/>
              </w:rPr>
              <w:t>达标</w:t>
            </w:r>
            <w:r>
              <w:rPr>
                <w:rFonts w:hint="eastAsia"/>
                <w:bCs w:val="0"/>
                <w:color w:val="auto"/>
              </w:rPr>
              <w:t>情况</w:t>
            </w:r>
          </w:p>
        </w:tc>
        <w:tc>
          <w:tcPr>
            <w:tcW w:w="385" w:type="pct"/>
            <w:vAlign w:val="center"/>
          </w:tcPr>
          <w:p>
            <w:pPr>
              <w:pStyle w:val="44"/>
              <w:spacing w:before="65" w:after="32"/>
              <w:rPr>
                <w:b/>
                <w:bCs w:val="0"/>
                <w:color w:val="auto"/>
              </w:rPr>
            </w:pPr>
            <w:r>
              <w:rPr>
                <w:bCs w:val="0"/>
                <w:color w:val="auto"/>
              </w:rPr>
              <w:t>达标</w:t>
            </w:r>
          </w:p>
        </w:tc>
        <w:tc>
          <w:tcPr>
            <w:tcW w:w="350" w:type="pct"/>
            <w:vAlign w:val="center"/>
          </w:tcPr>
          <w:p>
            <w:pPr>
              <w:pStyle w:val="44"/>
              <w:spacing w:before="65" w:after="32"/>
              <w:rPr>
                <w:b/>
                <w:bCs w:val="0"/>
                <w:color w:val="auto"/>
              </w:rPr>
            </w:pPr>
            <w:r>
              <w:rPr>
                <w:bCs w:val="0"/>
                <w:color w:val="auto"/>
              </w:rPr>
              <w:t>达标</w:t>
            </w:r>
          </w:p>
        </w:tc>
        <w:tc>
          <w:tcPr>
            <w:tcW w:w="448" w:type="pct"/>
            <w:vAlign w:val="center"/>
          </w:tcPr>
          <w:p>
            <w:pPr>
              <w:pStyle w:val="44"/>
              <w:spacing w:before="65" w:after="32"/>
              <w:rPr>
                <w:b/>
                <w:bCs w:val="0"/>
                <w:color w:val="auto"/>
              </w:rPr>
            </w:pPr>
            <w:r>
              <w:rPr>
                <w:bCs w:val="0"/>
                <w:color w:val="auto"/>
              </w:rPr>
              <w:t>达标</w:t>
            </w:r>
          </w:p>
        </w:tc>
        <w:tc>
          <w:tcPr>
            <w:tcW w:w="382" w:type="pct"/>
            <w:vAlign w:val="center"/>
          </w:tcPr>
          <w:p>
            <w:pPr>
              <w:pStyle w:val="44"/>
              <w:spacing w:before="65" w:after="32"/>
              <w:rPr>
                <w:b/>
                <w:bCs w:val="0"/>
                <w:color w:val="auto"/>
              </w:rPr>
            </w:pPr>
            <w:r>
              <w:rPr>
                <w:bCs w:val="0"/>
                <w:color w:val="auto"/>
              </w:rPr>
              <w:t>达标</w:t>
            </w:r>
          </w:p>
        </w:tc>
        <w:tc>
          <w:tcPr>
            <w:tcW w:w="399" w:type="pct"/>
            <w:vAlign w:val="center"/>
          </w:tcPr>
          <w:p>
            <w:pPr>
              <w:pStyle w:val="44"/>
              <w:spacing w:before="65" w:after="32"/>
              <w:rPr>
                <w:bCs w:val="0"/>
                <w:color w:val="auto"/>
              </w:rPr>
            </w:pPr>
            <w:r>
              <w:rPr>
                <w:bCs w:val="0"/>
                <w:color w:val="auto"/>
              </w:rPr>
              <w:t>达标</w:t>
            </w:r>
          </w:p>
        </w:tc>
        <w:tc>
          <w:tcPr>
            <w:tcW w:w="305" w:type="pct"/>
            <w:vAlign w:val="center"/>
          </w:tcPr>
          <w:p>
            <w:pPr>
              <w:pStyle w:val="44"/>
              <w:spacing w:before="65" w:after="32"/>
              <w:rPr>
                <w:bCs w:val="0"/>
                <w:color w:val="auto"/>
              </w:rPr>
            </w:pPr>
            <w:r>
              <w:rPr>
                <w:rFonts w:hint="eastAsia"/>
                <w:bCs w:val="0"/>
                <w:color w:val="auto"/>
              </w:rPr>
              <w:t>达标</w:t>
            </w:r>
          </w:p>
        </w:tc>
        <w:tc>
          <w:tcPr>
            <w:tcW w:w="310" w:type="pct"/>
            <w:vAlign w:val="center"/>
          </w:tcPr>
          <w:p>
            <w:pPr>
              <w:pStyle w:val="44"/>
              <w:spacing w:before="65" w:after="32"/>
              <w:rPr>
                <w:bCs w:val="0"/>
                <w:color w:val="auto"/>
              </w:rPr>
            </w:pPr>
            <w:r>
              <w:rPr>
                <w:bCs w:val="0"/>
                <w:color w:val="auto"/>
              </w:rPr>
              <w:t>达标</w:t>
            </w:r>
          </w:p>
        </w:tc>
      </w:tr>
      <w:bookmarkEnd w:id="114"/>
    </w:tbl>
    <w:p>
      <w:pPr>
        <w:ind w:firstLine="480"/>
        <w:sectPr>
          <w:pgSz w:w="16838" w:h="11906" w:orient="landscape"/>
          <w:pgMar w:top="1701" w:right="1418" w:bottom="1701" w:left="1418" w:header="851" w:footer="992" w:gutter="0"/>
          <w:pgNumType w:fmt="numberInDash"/>
          <w:cols w:space="425" w:num="1"/>
          <w:docGrid w:type="lines" w:linePitch="326" w:charSpace="0"/>
        </w:sectPr>
      </w:pPr>
    </w:p>
    <w:p>
      <w:pPr>
        <w:pStyle w:val="6"/>
      </w:pPr>
      <w:bookmarkStart w:id="115" w:name="_Toc81808419"/>
      <w:bookmarkStart w:id="116" w:name="_Toc81808531"/>
      <w:bookmarkStart w:id="117" w:name="_Toc81808420"/>
      <w:bookmarkStart w:id="118" w:name="_Toc81808532"/>
      <w:r>
        <w:t>9.2.2废气</w:t>
      </w:r>
      <w:bookmarkEnd w:id="115"/>
      <w:bookmarkEnd w:id="116"/>
    </w:p>
    <w:p>
      <w:pPr>
        <w:ind w:firstLine="480"/>
      </w:pPr>
      <w:r>
        <w:rPr>
          <w:rFonts w:hint="eastAsia"/>
        </w:rPr>
        <w:t>浙江泓远检测科技有限公司</w:t>
      </w:r>
      <w:r>
        <w:t>于2022年9月2日</w:t>
      </w:r>
      <w:r>
        <w:rPr>
          <w:rFonts w:hint="eastAsia"/>
        </w:rPr>
        <w:t>、</w:t>
      </w:r>
      <w:r>
        <w:t>9</w:t>
      </w:r>
      <w:r>
        <w:rPr>
          <w:rFonts w:hint="eastAsia"/>
        </w:rPr>
        <w:t>月</w:t>
      </w:r>
      <w:r>
        <w:t>3日对</w:t>
      </w:r>
      <w:r>
        <w:rPr>
          <w:rFonts w:hint="eastAsia"/>
        </w:rPr>
        <w:t>桐乡市诺派纺织科技有限公司有组织废气的排放口进行了现场监测，废气处理设施进口污染物监测结果见表9</w:t>
      </w:r>
      <w:r>
        <w:t>-3</w:t>
      </w:r>
      <w:r>
        <w:rPr>
          <w:rFonts w:hint="eastAsia"/>
        </w:rPr>
        <w:t>，复合废气处理设施排放口污染物监测结果见表9</w:t>
      </w:r>
      <w:r>
        <w:t>-4</w:t>
      </w:r>
      <w:r>
        <w:rPr>
          <w:rFonts w:hint="eastAsia"/>
        </w:rPr>
        <w:t>，</w:t>
      </w:r>
      <w:r>
        <w:t>涂层废气处理设施排放口污染物监测结果见表</w:t>
      </w:r>
      <w:r>
        <w:rPr>
          <w:rFonts w:hint="eastAsia"/>
        </w:rPr>
        <w:t>9</w:t>
      </w:r>
      <w:r>
        <w:t>-5</w:t>
      </w:r>
      <w:r>
        <w:rPr>
          <w:rFonts w:hint="eastAsia"/>
        </w:rPr>
        <w:t>。</w:t>
      </w:r>
    </w:p>
    <w:p>
      <w:pPr>
        <w:ind w:firstLine="480"/>
      </w:pPr>
      <w:r>
        <w:rPr>
          <w:rFonts w:hint="eastAsia"/>
        </w:rPr>
        <w:t>根据监测结果，公司复合工序废气处理设施排放口非甲烷总烃、臭气浓度排放浓度均低于《纺织染整工业大气污染物排放标准》（DB</w:t>
      </w:r>
      <w:r>
        <w:t>33/962-2015</w:t>
      </w:r>
      <w:r>
        <w:rPr>
          <w:rFonts w:hint="eastAsia"/>
        </w:rPr>
        <w:t>）表1规定的新建企业相关排放限值；涂层工序废气处理设施排放口非甲烷总烃、臭气浓度排放浓度均低于《纺织染整工业大气污染物排放标准》（D</w:t>
      </w:r>
      <w:r>
        <w:t>B33/962-2015</w:t>
      </w:r>
      <w:r>
        <w:rPr>
          <w:rFonts w:hint="eastAsia"/>
        </w:rPr>
        <w:t>）表1规定的新建企业相关排放限值，颗粒物、SO</w:t>
      </w:r>
      <w:r>
        <w:rPr>
          <w:rFonts w:hint="eastAsia"/>
          <w:vertAlign w:val="subscript"/>
        </w:rPr>
        <w:t>2</w:t>
      </w:r>
      <w:r>
        <w:rPr>
          <w:rFonts w:hint="eastAsia"/>
        </w:rPr>
        <w:t>、NOx排放浓度均低于《关于印发&lt;工业炉窑大气污染综合治理方案&gt;的通知》（环大气[2019]56号）和《浙江省工业炉窑大气污染综合治理方案》（浙环函[2019]315号）中关于未制定行业标准的其他炉窑相关污染物排放限值。</w:t>
      </w:r>
    </w:p>
    <w:p>
      <w:pPr>
        <w:pStyle w:val="39"/>
        <w:spacing w:before="62" w:after="31"/>
        <w:rPr>
          <w:color w:val="auto"/>
        </w:rPr>
      </w:pPr>
      <w:r>
        <w:rPr>
          <w:color w:val="auto"/>
        </w:rPr>
        <w:t xml:space="preserve">表9-3  </w:t>
      </w:r>
      <w:r>
        <w:rPr>
          <w:rFonts w:hint="eastAsia"/>
          <w:color w:val="auto"/>
        </w:rPr>
        <w:t>废气处理设施进口监测结果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310"/>
        <w:gridCol w:w="1310"/>
        <w:gridCol w:w="2252"/>
        <w:gridCol w:w="2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restart"/>
            <w:shd w:val="clear" w:color="auto" w:fill="auto"/>
            <w:vAlign w:val="center"/>
          </w:tcPr>
          <w:p>
            <w:pPr>
              <w:pStyle w:val="43"/>
              <w:rPr>
                <w:color w:val="auto"/>
              </w:rPr>
            </w:pPr>
            <w:r>
              <w:rPr>
                <w:b/>
                <w:bCs/>
                <w:color w:val="auto"/>
              </w:rPr>
              <w:t>采样位置</w:t>
            </w:r>
          </w:p>
        </w:tc>
        <w:tc>
          <w:tcPr>
            <w:tcW w:w="1502" w:type="pct"/>
            <w:gridSpan w:val="2"/>
            <w:vMerge w:val="restart"/>
            <w:shd w:val="clear" w:color="auto" w:fill="auto"/>
            <w:vAlign w:val="center"/>
          </w:tcPr>
          <w:p>
            <w:pPr>
              <w:pStyle w:val="43"/>
              <w:rPr>
                <w:color w:val="auto"/>
              </w:rPr>
            </w:pPr>
            <w:r>
              <w:rPr>
                <w:b/>
                <w:bCs/>
                <w:color w:val="auto"/>
              </w:rPr>
              <w:t>监测时间</w:t>
            </w:r>
          </w:p>
        </w:tc>
        <w:tc>
          <w:tcPr>
            <w:tcW w:w="2583" w:type="pct"/>
            <w:gridSpan w:val="2"/>
            <w:shd w:val="clear" w:color="auto" w:fill="auto"/>
            <w:vAlign w:val="center"/>
          </w:tcPr>
          <w:p>
            <w:pPr>
              <w:pStyle w:val="43"/>
              <w:rPr>
                <w:b/>
                <w:bCs/>
                <w:color w:val="auto"/>
              </w:rPr>
            </w:pPr>
            <w:r>
              <w:rPr>
                <w:rFonts w:hint="eastAsia"/>
                <w:b/>
                <w:bCs/>
                <w:color w:val="auto"/>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1502" w:type="pct"/>
            <w:gridSpan w:val="2"/>
            <w:vMerge w:val="continue"/>
            <w:shd w:val="clear" w:color="auto" w:fill="auto"/>
            <w:vAlign w:val="center"/>
          </w:tcPr>
          <w:p>
            <w:pPr>
              <w:pStyle w:val="43"/>
              <w:rPr>
                <w:color w:val="auto"/>
              </w:rPr>
            </w:pPr>
          </w:p>
        </w:tc>
        <w:tc>
          <w:tcPr>
            <w:tcW w:w="1291" w:type="pct"/>
            <w:shd w:val="clear" w:color="auto" w:fill="auto"/>
            <w:vAlign w:val="center"/>
          </w:tcPr>
          <w:p>
            <w:pPr>
              <w:pStyle w:val="43"/>
              <w:rPr>
                <w:b/>
                <w:bCs/>
                <w:color w:val="auto"/>
              </w:rPr>
            </w:pPr>
            <w:r>
              <w:rPr>
                <w:rFonts w:hint="eastAsia"/>
                <w:b/>
                <w:bCs/>
                <w:color w:val="auto"/>
              </w:rPr>
              <w:t>非甲烷总烃产生浓度（mg</w:t>
            </w:r>
            <w:r>
              <w:rPr>
                <w:b/>
                <w:bCs/>
                <w:color w:val="auto"/>
              </w:rPr>
              <w:t>/</w:t>
            </w:r>
            <w:r>
              <w:rPr>
                <w:rFonts w:hint="eastAsia"/>
                <w:b/>
                <w:bCs/>
                <w:color w:val="auto"/>
              </w:rPr>
              <w:t>m³）</w:t>
            </w:r>
          </w:p>
        </w:tc>
        <w:tc>
          <w:tcPr>
            <w:tcW w:w="1292" w:type="pct"/>
            <w:shd w:val="clear" w:color="auto" w:fill="auto"/>
            <w:vAlign w:val="center"/>
          </w:tcPr>
          <w:p>
            <w:pPr>
              <w:pStyle w:val="43"/>
              <w:rPr>
                <w:color w:val="auto"/>
              </w:rPr>
            </w:pPr>
            <w:r>
              <w:rPr>
                <w:rFonts w:hint="eastAsia"/>
                <w:b/>
                <w:bCs/>
                <w:color w:val="auto"/>
              </w:rPr>
              <w:t>非甲烷总烃产生速率（kg/h）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restart"/>
            <w:shd w:val="clear" w:color="auto" w:fill="auto"/>
            <w:vAlign w:val="center"/>
          </w:tcPr>
          <w:p>
            <w:pPr>
              <w:pStyle w:val="43"/>
              <w:rPr>
                <w:color w:val="auto"/>
              </w:rPr>
            </w:pPr>
            <w:r>
              <w:rPr>
                <w:rFonts w:hint="eastAsia"/>
                <w:color w:val="auto"/>
              </w:rPr>
              <w:t>复合工序废气处理设施进口</w:t>
            </w:r>
          </w:p>
        </w:tc>
        <w:tc>
          <w:tcPr>
            <w:tcW w:w="751" w:type="pct"/>
            <w:vMerge w:val="restart"/>
            <w:shd w:val="clear" w:color="auto" w:fill="auto"/>
            <w:vAlign w:val="center"/>
          </w:tcPr>
          <w:p>
            <w:pPr>
              <w:pStyle w:val="43"/>
              <w:rPr>
                <w:color w:val="auto"/>
              </w:rPr>
            </w:pPr>
            <w:r>
              <w:rPr>
                <w:color w:val="auto"/>
              </w:rPr>
              <w:t>2022.9.2</w:t>
            </w:r>
          </w:p>
        </w:tc>
        <w:tc>
          <w:tcPr>
            <w:tcW w:w="751" w:type="pct"/>
            <w:shd w:val="clear" w:color="auto" w:fill="auto"/>
            <w:vAlign w:val="center"/>
          </w:tcPr>
          <w:p>
            <w:pPr>
              <w:pStyle w:val="43"/>
              <w:rPr>
                <w:color w:val="auto"/>
              </w:rPr>
            </w:pPr>
            <w:r>
              <w:rPr>
                <w:color w:val="auto"/>
              </w:rPr>
              <w:t>第一次</w:t>
            </w:r>
          </w:p>
        </w:tc>
        <w:tc>
          <w:tcPr>
            <w:tcW w:w="1291" w:type="pct"/>
            <w:shd w:val="clear" w:color="auto" w:fill="auto"/>
            <w:vAlign w:val="center"/>
          </w:tcPr>
          <w:p>
            <w:pPr>
              <w:pStyle w:val="43"/>
              <w:rPr>
                <w:color w:val="auto"/>
              </w:rPr>
            </w:pPr>
            <w:r>
              <w:rPr>
                <w:rFonts w:hint="eastAsia"/>
                <w:color w:val="auto"/>
              </w:rPr>
              <w:t>7</w:t>
            </w:r>
            <w:r>
              <w:rPr>
                <w:color w:val="auto"/>
              </w:rPr>
              <w:t>.03</w:t>
            </w:r>
          </w:p>
        </w:tc>
        <w:tc>
          <w:tcPr>
            <w:tcW w:w="1292" w:type="pct"/>
            <w:shd w:val="clear" w:color="auto" w:fill="auto"/>
            <w:vAlign w:val="center"/>
          </w:tcPr>
          <w:p>
            <w:pPr>
              <w:pStyle w:val="43"/>
              <w:rPr>
                <w:color w:val="auto"/>
              </w:rPr>
            </w:pPr>
            <w:r>
              <w:rPr>
                <w:color w:val="auto"/>
              </w:rPr>
              <w:t>0.184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第二次</w:t>
            </w:r>
          </w:p>
        </w:tc>
        <w:tc>
          <w:tcPr>
            <w:tcW w:w="1291" w:type="pct"/>
            <w:shd w:val="clear" w:color="auto" w:fill="auto"/>
            <w:vAlign w:val="center"/>
          </w:tcPr>
          <w:p>
            <w:pPr>
              <w:pStyle w:val="43"/>
              <w:rPr>
                <w:color w:val="auto"/>
              </w:rPr>
            </w:pPr>
            <w:r>
              <w:rPr>
                <w:rFonts w:hint="eastAsia"/>
                <w:color w:val="auto"/>
              </w:rPr>
              <w:t>6</w:t>
            </w:r>
            <w:r>
              <w:rPr>
                <w:color w:val="auto"/>
              </w:rPr>
              <w:t>.76</w:t>
            </w:r>
          </w:p>
        </w:tc>
        <w:tc>
          <w:tcPr>
            <w:tcW w:w="1292" w:type="pct"/>
            <w:shd w:val="clear" w:color="auto" w:fill="auto"/>
            <w:vAlign w:val="center"/>
          </w:tcPr>
          <w:p>
            <w:pPr>
              <w:pStyle w:val="43"/>
              <w:rPr>
                <w:color w:val="auto"/>
              </w:rPr>
            </w:pPr>
            <w:r>
              <w:rPr>
                <w:rFonts w:hint="eastAsia"/>
                <w:color w:val="auto"/>
              </w:rPr>
              <w:t>0</w:t>
            </w:r>
            <w:r>
              <w:rPr>
                <w:color w:val="auto"/>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第三次</w:t>
            </w:r>
          </w:p>
        </w:tc>
        <w:tc>
          <w:tcPr>
            <w:tcW w:w="1291" w:type="pct"/>
            <w:shd w:val="clear" w:color="auto" w:fill="auto"/>
            <w:vAlign w:val="center"/>
          </w:tcPr>
          <w:p>
            <w:pPr>
              <w:pStyle w:val="43"/>
              <w:rPr>
                <w:color w:val="auto"/>
              </w:rPr>
            </w:pPr>
            <w:r>
              <w:rPr>
                <w:rFonts w:hint="eastAsia"/>
                <w:color w:val="auto"/>
              </w:rPr>
              <w:t>7</w:t>
            </w:r>
            <w:r>
              <w:rPr>
                <w:color w:val="auto"/>
              </w:rPr>
              <w:t>.06</w:t>
            </w:r>
          </w:p>
        </w:tc>
        <w:tc>
          <w:tcPr>
            <w:tcW w:w="1292" w:type="pct"/>
            <w:shd w:val="clear" w:color="auto" w:fill="auto"/>
            <w:vAlign w:val="center"/>
          </w:tcPr>
          <w:p>
            <w:pPr>
              <w:pStyle w:val="43"/>
              <w:rPr>
                <w:color w:val="auto"/>
              </w:rPr>
            </w:pPr>
            <w:r>
              <w:rPr>
                <w:rFonts w:hint="eastAsia"/>
                <w:color w:val="auto"/>
              </w:rPr>
              <w:t>0</w:t>
            </w:r>
            <w:r>
              <w:rPr>
                <w:color w:val="auto"/>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平均值</w:t>
            </w:r>
          </w:p>
        </w:tc>
        <w:tc>
          <w:tcPr>
            <w:tcW w:w="1291" w:type="pct"/>
            <w:shd w:val="clear" w:color="auto" w:fill="auto"/>
            <w:vAlign w:val="center"/>
          </w:tcPr>
          <w:p>
            <w:pPr>
              <w:pStyle w:val="43"/>
              <w:rPr>
                <w:color w:val="auto"/>
              </w:rPr>
            </w:pPr>
            <w:r>
              <w:rPr>
                <w:rFonts w:hint="eastAsia"/>
                <w:color w:val="auto"/>
              </w:rPr>
              <w:t>6</w:t>
            </w:r>
            <w:r>
              <w:rPr>
                <w:color w:val="auto"/>
              </w:rPr>
              <w:t>.95</w:t>
            </w:r>
          </w:p>
        </w:tc>
        <w:tc>
          <w:tcPr>
            <w:tcW w:w="1292" w:type="pct"/>
            <w:shd w:val="clear" w:color="auto" w:fill="auto"/>
            <w:vAlign w:val="center"/>
          </w:tcPr>
          <w:p>
            <w:pPr>
              <w:pStyle w:val="43"/>
              <w:rPr>
                <w:color w:val="auto"/>
              </w:rPr>
            </w:pPr>
            <w:r>
              <w:rPr>
                <w:rFonts w:hint="eastAsia"/>
                <w:color w:val="auto"/>
              </w:rPr>
              <w:t>0.</w:t>
            </w:r>
            <w:r>
              <w:rPr>
                <w:color w:val="auto"/>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restart"/>
            <w:shd w:val="clear" w:color="auto" w:fill="auto"/>
            <w:vAlign w:val="center"/>
          </w:tcPr>
          <w:p>
            <w:pPr>
              <w:pStyle w:val="43"/>
              <w:rPr>
                <w:color w:val="auto"/>
              </w:rPr>
            </w:pPr>
            <w:r>
              <w:rPr>
                <w:color w:val="auto"/>
              </w:rPr>
              <w:t>2022.9.3</w:t>
            </w:r>
          </w:p>
        </w:tc>
        <w:tc>
          <w:tcPr>
            <w:tcW w:w="751" w:type="pct"/>
            <w:shd w:val="clear" w:color="auto" w:fill="auto"/>
            <w:vAlign w:val="center"/>
          </w:tcPr>
          <w:p>
            <w:pPr>
              <w:pStyle w:val="43"/>
              <w:rPr>
                <w:color w:val="auto"/>
              </w:rPr>
            </w:pPr>
            <w:r>
              <w:rPr>
                <w:color w:val="auto"/>
              </w:rPr>
              <w:t>第一次</w:t>
            </w:r>
          </w:p>
        </w:tc>
        <w:tc>
          <w:tcPr>
            <w:tcW w:w="1291" w:type="pct"/>
            <w:shd w:val="clear" w:color="auto" w:fill="auto"/>
            <w:vAlign w:val="center"/>
          </w:tcPr>
          <w:p>
            <w:pPr>
              <w:pStyle w:val="43"/>
              <w:rPr>
                <w:color w:val="auto"/>
              </w:rPr>
            </w:pPr>
            <w:r>
              <w:rPr>
                <w:rFonts w:hint="eastAsia"/>
                <w:color w:val="auto"/>
              </w:rPr>
              <w:t>7</w:t>
            </w:r>
            <w:r>
              <w:rPr>
                <w:color w:val="auto"/>
              </w:rPr>
              <w:t>.81</w:t>
            </w:r>
          </w:p>
        </w:tc>
        <w:tc>
          <w:tcPr>
            <w:tcW w:w="1292" w:type="pct"/>
            <w:shd w:val="clear" w:color="auto" w:fill="auto"/>
            <w:vAlign w:val="center"/>
          </w:tcPr>
          <w:p>
            <w:pPr>
              <w:pStyle w:val="43"/>
              <w:rPr>
                <w:color w:val="auto"/>
              </w:rPr>
            </w:pPr>
            <w:r>
              <w:rPr>
                <w:color w:val="auto"/>
              </w:rPr>
              <w:t>0.191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第二次</w:t>
            </w:r>
          </w:p>
        </w:tc>
        <w:tc>
          <w:tcPr>
            <w:tcW w:w="1291" w:type="pct"/>
            <w:shd w:val="clear" w:color="auto" w:fill="auto"/>
            <w:vAlign w:val="center"/>
          </w:tcPr>
          <w:p>
            <w:pPr>
              <w:pStyle w:val="43"/>
              <w:rPr>
                <w:color w:val="auto"/>
              </w:rPr>
            </w:pPr>
            <w:r>
              <w:rPr>
                <w:rFonts w:hint="eastAsia"/>
                <w:color w:val="auto"/>
              </w:rPr>
              <w:t>7</w:t>
            </w:r>
            <w:r>
              <w:rPr>
                <w:color w:val="auto"/>
              </w:rPr>
              <w:t>.73</w:t>
            </w:r>
          </w:p>
        </w:tc>
        <w:tc>
          <w:tcPr>
            <w:tcW w:w="1292" w:type="pct"/>
            <w:shd w:val="clear" w:color="auto" w:fill="auto"/>
            <w:vAlign w:val="center"/>
          </w:tcPr>
          <w:p>
            <w:pPr>
              <w:pStyle w:val="43"/>
              <w:rPr>
                <w:color w:val="auto"/>
              </w:rPr>
            </w:pPr>
            <w:r>
              <w:rPr>
                <w:rFonts w:hint="eastAsia"/>
                <w:color w:val="auto"/>
              </w:rPr>
              <w:t>0</w:t>
            </w:r>
            <w:r>
              <w:rPr>
                <w:color w:val="auto"/>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第三次</w:t>
            </w:r>
          </w:p>
        </w:tc>
        <w:tc>
          <w:tcPr>
            <w:tcW w:w="1291" w:type="pct"/>
            <w:shd w:val="clear" w:color="auto" w:fill="auto"/>
            <w:vAlign w:val="center"/>
          </w:tcPr>
          <w:p>
            <w:pPr>
              <w:pStyle w:val="43"/>
              <w:rPr>
                <w:color w:val="auto"/>
              </w:rPr>
            </w:pPr>
            <w:r>
              <w:rPr>
                <w:rFonts w:hint="eastAsia"/>
                <w:color w:val="auto"/>
              </w:rPr>
              <w:t>7</w:t>
            </w:r>
            <w:r>
              <w:rPr>
                <w:color w:val="auto"/>
              </w:rPr>
              <w:t>.28</w:t>
            </w:r>
          </w:p>
        </w:tc>
        <w:tc>
          <w:tcPr>
            <w:tcW w:w="1292" w:type="pct"/>
            <w:shd w:val="clear" w:color="auto" w:fill="auto"/>
            <w:vAlign w:val="center"/>
          </w:tcPr>
          <w:p>
            <w:pPr>
              <w:pStyle w:val="43"/>
              <w:rPr>
                <w:color w:val="auto"/>
              </w:rPr>
            </w:pPr>
            <w:r>
              <w:rPr>
                <w:rFonts w:hint="eastAsia"/>
                <w:color w:val="auto"/>
              </w:rPr>
              <w:t>0</w:t>
            </w:r>
            <w:r>
              <w:rPr>
                <w:color w:val="auto"/>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平均值</w:t>
            </w:r>
          </w:p>
        </w:tc>
        <w:tc>
          <w:tcPr>
            <w:tcW w:w="1291" w:type="pct"/>
            <w:shd w:val="clear" w:color="auto" w:fill="auto"/>
            <w:vAlign w:val="center"/>
          </w:tcPr>
          <w:p>
            <w:pPr>
              <w:pStyle w:val="43"/>
              <w:rPr>
                <w:color w:val="auto"/>
              </w:rPr>
            </w:pPr>
            <w:r>
              <w:rPr>
                <w:color w:val="auto"/>
              </w:rPr>
              <w:t>7.61</w:t>
            </w:r>
          </w:p>
        </w:tc>
        <w:tc>
          <w:tcPr>
            <w:tcW w:w="1292" w:type="pct"/>
            <w:shd w:val="clear" w:color="auto" w:fill="auto"/>
            <w:vAlign w:val="center"/>
          </w:tcPr>
          <w:p>
            <w:pPr>
              <w:pStyle w:val="43"/>
              <w:rPr>
                <w:color w:val="auto"/>
              </w:rPr>
            </w:pPr>
            <w:r>
              <w:rPr>
                <w:rFonts w:hint="eastAsia"/>
                <w:color w:val="auto"/>
              </w:rPr>
              <w:t>0</w:t>
            </w:r>
            <w:r>
              <w:rPr>
                <w:color w:val="auto"/>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restart"/>
            <w:shd w:val="clear" w:color="auto" w:fill="auto"/>
            <w:vAlign w:val="center"/>
          </w:tcPr>
          <w:p>
            <w:pPr>
              <w:pStyle w:val="43"/>
              <w:rPr>
                <w:color w:val="auto"/>
              </w:rPr>
            </w:pPr>
            <w:r>
              <w:rPr>
                <w:b/>
                <w:bCs/>
                <w:color w:val="auto"/>
              </w:rPr>
              <w:t>采样位置</w:t>
            </w:r>
          </w:p>
        </w:tc>
        <w:tc>
          <w:tcPr>
            <w:tcW w:w="1502" w:type="pct"/>
            <w:gridSpan w:val="2"/>
            <w:vMerge w:val="restart"/>
            <w:shd w:val="clear" w:color="auto" w:fill="auto"/>
            <w:vAlign w:val="center"/>
          </w:tcPr>
          <w:p>
            <w:pPr>
              <w:pStyle w:val="43"/>
              <w:rPr>
                <w:color w:val="auto"/>
              </w:rPr>
            </w:pPr>
            <w:r>
              <w:rPr>
                <w:b/>
                <w:bCs/>
                <w:color w:val="auto"/>
              </w:rPr>
              <w:t>监测时间</w:t>
            </w:r>
          </w:p>
        </w:tc>
        <w:tc>
          <w:tcPr>
            <w:tcW w:w="2583" w:type="pct"/>
            <w:gridSpan w:val="2"/>
            <w:shd w:val="clear" w:color="auto" w:fill="auto"/>
            <w:vAlign w:val="center"/>
          </w:tcPr>
          <w:p>
            <w:pPr>
              <w:pStyle w:val="43"/>
              <w:rPr>
                <w:b/>
                <w:bCs/>
                <w:color w:val="auto"/>
              </w:rPr>
            </w:pPr>
            <w:r>
              <w:rPr>
                <w:rFonts w:hint="eastAsia"/>
                <w:b/>
                <w:bCs/>
                <w:color w:val="auto"/>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1502" w:type="pct"/>
            <w:gridSpan w:val="2"/>
            <w:vMerge w:val="continue"/>
            <w:shd w:val="clear" w:color="auto" w:fill="auto"/>
            <w:vAlign w:val="center"/>
          </w:tcPr>
          <w:p>
            <w:pPr>
              <w:pStyle w:val="43"/>
              <w:rPr>
                <w:color w:val="auto"/>
              </w:rPr>
            </w:pPr>
          </w:p>
        </w:tc>
        <w:tc>
          <w:tcPr>
            <w:tcW w:w="1291" w:type="pct"/>
            <w:shd w:val="clear" w:color="auto" w:fill="auto"/>
            <w:vAlign w:val="center"/>
          </w:tcPr>
          <w:p>
            <w:pPr>
              <w:pStyle w:val="43"/>
              <w:rPr>
                <w:b/>
                <w:bCs/>
                <w:color w:val="auto"/>
              </w:rPr>
            </w:pPr>
            <w:r>
              <w:rPr>
                <w:rFonts w:hint="eastAsia"/>
                <w:b/>
                <w:bCs/>
                <w:color w:val="auto"/>
              </w:rPr>
              <w:t>非甲烷总烃产生浓度（mg</w:t>
            </w:r>
            <w:r>
              <w:rPr>
                <w:b/>
                <w:bCs/>
                <w:color w:val="auto"/>
              </w:rPr>
              <w:t>/</w:t>
            </w:r>
            <w:r>
              <w:rPr>
                <w:rFonts w:hint="eastAsia"/>
                <w:b/>
                <w:bCs/>
                <w:color w:val="auto"/>
              </w:rPr>
              <w:t>m³）</w:t>
            </w:r>
          </w:p>
        </w:tc>
        <w:tc>
          <w:tcPr>
            <w:tcW w:w="1292" w:type="pct"/>
            <w:shd w:val="clear" w:color="auto" w:fill="auto"/>
            <w:vAlign w:val="center"/>
          </w:tcPr>
          <w:p>
            <w:pPr>
              <w:pStyle w:val="43"/>
              <w:rPr>
                <w:color w:val="auto"/>
              </w:rPr>
            </w:pPr>
            <w:r>
              <w:rPr>
                <w:rFonts w:hint="eastAsia"/>
                <w:b/>
                <w:bCs/>
                <w:color w:val="auto"/>
              </w:rPr>
              <w:t>非甲烷总烃产生速率（kg/h）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restart"/>
            <w:shd w:val="clear" w:color="auto" w:fill="auto"/>
            <w:vAlign w:val="center"/>
          </w:tcPr>
          <w:p>
            <w:pPr>
              <w:pStyle w:val="43"/>
              <w:rPr>
                <w:color w:val="auto"/>
              </w:rPr>
            </w:pPr>
            <w:r>
              <w:rPr>
                <w:rFonts w:hint="eastAsia"/>
                <w:color w:val="auto"/>
              </w:rPr>
              <w:t>涂层工序废气处理设施进口1</w:t>
            </w:r>
          </w:p>
        </w:tc>
        <w:tc>
          <w:tcPr>
            <w:tcW w:w="751" w:type="pct"/>
            <w:vMerge w:val="restart"/>
            <w:shd w:val="clear" w:color="auto" w:fill="auto"/>
            <w:vAlign w:val="center"/>
          </w:tcPr>
          <w:p>
            <w:pPr>
              <w:pStyle w:val="43"/>
              <w:rPr>
                <w:color w:val="auto"/>
              </w:rPr>
            </w:pPr>
            <w:r>
              <w:rPr>
                <w:color w:val="auto"/>
              </w:rPr>
              <w:t>2022.9.2</w:t>
            </w:r>
          </w:p>
        </w:tc>
        <w:tc>
          <w:tcPr>
            <w:tcW w:w="751" w:type="pct"/>
            <w:shd w:val="clear" w:color="auto" w:fill="auto"/>
            <w:vAlign w:val="center"/>
          </w:tcPr>
          <w:p>
            <w:pPr>
              <w:pStyle w:val="43"/>
              <w:rPr>
                <w:color w:val="auto"/>
              </w:rPr>
            </w:pPr>
            <w:r>
              <w:rPr>
                <w:color w:val="auto"/>
              </w:rPr>
              <w:t>第一次</w:t>
            </w:r>
          </w:p>
        </w:tc>
        <w:tc>
          <w:tcPr>
            <w:tcW w:w="1291" w:type="pct"/>
            <w:shd w:val="clear" w:color="auto" w:fill="auto"/>
            <w:vAlign w:val="center"/>
          </w:tcPr>
          <w:p>
            <w:pPr>
              <w:pStyle w:val="43"/>
              <w:rPr>
                <w:color w:val="auto"/>
              </w:rPr>
            </w:pPr>
            <w:r>
              <w:rPr>
                <w:rFonts w:hint="eastAsia"/>
                <w:color w:val="auto"/>
              </w:rPr>
              <w:t>2</w:t>
            </w:r>
            <w:r>
              <w:rPr>
                <w:color w:val="auto"/>
              </w:rPr>
              <w:t>5.2</w:t>
            </w:r>
          </w:p>
        </w:tc>
        <w:tc>
          <w:tcPr>
            <w:tcW w:w="1292" w:type="pct"/>
            <w:shd w:val="clear" w:color="auto" w:fill="auto"/>
            <w:vAlign w:val="center"/>
          </w:tcPr>
          <w:p>
            <w:pPr>
              <w:pStyle w:val="43"/>
              <w:rPr>
                <w:color w:val="auto"/>
              </w:rPr>
            </w:pPr>
            <w:r>
              <w:rPr>
                <w:rFonts w:hint="eastAsia"/>
                <w:color w:val="auto"/>
              </w:rPr>
              <w:t>0</w:t>
            </w:r>
            <w:r>
              <w:rPr>
                <w:color w:val="auto"/>
              </w:rPr>
              <w:t>.271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第二次</w:t>
            </w:r>
          </w:p>
        </w:tc>
        <w:tc>
          <w:tcPr>
            <w:tcW w:w="1291" w:type="pct"/>
            <w:shd w:val="clear" w:color="auto" w:fill="auto"/>
            <w:vAlign w:val="center"/>
          </w:tcPr>
          <w:p>
            <w:pPr>
              <w:pStyle w:val="43"/>
              <w:rPr>
                <w:color w:val="auto"/>
              </w:rPr>
            </w:pPr>
            <w:r>
              <w:rPr>
                <w:rFonts w:hint="eastAsia"/>
                <w:color w:val="auto"/>
              </w:rPr>
              <w:t>2</w:t>
            </w:r>
            <w:r>
              <w:rPr>
                <w:color w:val="auto"/>
              </w:rPr>
              <w:t>4.5</w:t>
            </w:r>
          </w:p>
        </w:tc>
        <w:tc>
          <w:tcPr>
            <w:tcW w:w="1292" w:type="pct"/>
            <w:shd w:val="clear" w:color="auto" w:fill="auto"/>
            <w:vAlign w:val="center"/>
          </w:tcPr>
          <w:p>
            <w:pPr>
              <w:pStyle w:val="43"/>
              <w:rPr>
                <w:color w:val="auto"/>
              </w:rPr>
            </w:pPr>
            <w:r>
              <w:rPr>
                <w:rFonts w:hint="eastAsia"/>
                <w:color w:val="auto"/>
              </w:rPr>
              <w:t>0</w:t>
            </w:r>
            <w:r>
              <w:rPr>
                <w:color w:val="auto"/>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第三次</w:t>
            </w:r>
          </w:p>
        </w:tc>
        <w:tc>
          <w:tcPr>
            <w:tcW w:w="1291" w:type="pct"/>
            <w:shd w:val="clear" w:color="auto" w:fill="auto"/>
            <w:vAlign w:val="center"/>
          </w:tcPr>
          <w:p>
            <w:pPr>
              <w:pStyle w:val="43"/>
              <w:rPr>
                <w:color w:val="auto"/>
              </w:rPr>
            </w:pPr>
            <w:r>
              <w:rPr>
                <w:rFonts w:hint="eastAsia"/>
                <w:color w:val="auto"/>
              </w:rPr>
              <w:t>2</w:t>
            </w:r>
            <w:r>
              <w:rPr>
                <w:color w:val="auto"/>
              </w:rPr>
              <w:t>6.0</w:t>
            </w:r>
          </w:p>
        </w:tc>
        <w:tc>
          <w:tcPr>
            <w:tcW w:w="1292" w:type="pct"/>
            <w:shd w:val="clear" w:color="auto" w:fill="auto"/>
            <w:vAlign w:val="center"/>
          </w:tcPr>
          <w:p>
            <w:pPr>
              <w:pStyle w:val="43"/>
              <w:rPr>
                <w:color w:val="auto"/>
              </w:rPr>
            </w:pPr>
            <w:r>
              <w:rPr>
                <w:rFonts w:hint="eastAsia"/>
                <w:color w:val="auto"/>
              </w:rPr>
              <w:t>0</w:t>
            </w:r>
            <w:r>
              <w:rPr>
                <w:color w:val="auto"/>
              </w:rPr>
              <w:t>.279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平均值</w:t>
            </w:r>
          </w:p>
        </w:tc>
        <w:tc>
          <w:tcPr>
            <w:tcW w:w="1291" w:type="pct"/>
            <w:shd w:val="clear" w:color="auto" w:fill="auto"/>
            <w:vAlign w:val="center"/>
          </w:tcPr>
          <w:p>
            <w:pPr>
              <w:pStyle w:val="43"/>
              <w:rPr>
                <w:color w:val="auto"/>
              </w:rPr>
            </w:pPr>
            <w:r>
              <w:rPr>
                <w:rFonts w:hint="eastAsia"/>
                <w:color w:val="auto"/>
              </w:rPr>
              <w:t>2</w:t>
            </w:r>
            <w:r>
              <w:rPr>
                <w:color w:val="auto"/>
              </w:rPr>
              <w:t>5.2</w:t>
            </w:r>
          </w:p>
        </w:tc>
        <w:tc>
          <w:tcPr>
            <w:tcW w:w="1292" w:type="pct"/>
            <w:shd w:val="clear" w:color="auto" w:fill="auto"/>
            <w:vAlign w:val="center"/>
          </w:tcPr>
          <w:p>
            <w:pPr>
              <w:pStyle w:val="43"/>
              <w:rPr>
                <w:color w:val="auto"/>
              </w:rPr>
            </w:pPr>
            <w:r>
              <w:rPr>
                <w:color w:val="auto"/>
              </w:rPr>
              <w:t>0.271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restart"/>
            <w:shd w:val="clear" w:color="auto" w:fill="auto"/>
            <w:vAlign w:val="center"/>
          </w:tcPr>
          <w:p>
            <w:pPr>
              <w:pStyle w:val="43"/>
              <w:rPr>
                <w:color w:val="auto"/>
              </w:rPr>
            </w:pPr>
            <w:r>
              <w:rPr>
                <w:color w:val="auto"/>
              </w:rPr>
              <w:t>2022.9.3</w:t>
            </w:r>
          </w:p>
        </w:tc>
        <w:tc>
          <w:tcPr>
            <w:tcW w:w="751" w:type="pct"/>
            <w:shd w:val="clear" w:color="auto" w:fill="auto"/>
            <w:vAlign w:val="center"/>
          </w:tcPr>
          <w:p>
            <w:pPr>
              <w:pStyle w:val="43"/>
              <w:rPr>
                <w:color w:val="auto"/>
              </w:rPr>
            </w:pPr>
            <w:r>
              <w:rPr>
                <w:color w:val="auto"/>
              </w:rPr>
              <w:t>第一次</w:t>
            </w:r>
          </w:p>
        </w:tc>
        <w:tc>
          <w:tcPr>
            <w:tcW w:w="1291" w:type="pct"/>
            <w:shd w:val="clear" w:color="auto" w:fill="auto"/>
            <w:vAlign w:val="center"/>
          </w:tcPr>
          <w:p>
            <w:pPr>
              <w:pStyle w:val="43"/>
              <w:rPr>
                <w:color w:val="auto"/>
              </w:rPr>
            </w:pPr>
            <w:r>
              <w:rPr>
                <w:rFonts w:hint="eastAsia"/>
                <w:color w:val="auto"/>
              </w:rPr>
              <w:t>3</w:t>
            </w:r>
            <w:r>
              <w:rPr>
                <w:color w:val="auto"/>
              </w:rPr>
              <w:t>5.9</w:t>
            </w:r>
          </w:p>
        </w:tc>
        <w:tc>
          <w:tcPr>
            <w:tcW w:w="1292" w:type="pct"/>
            <w:shd w:val="clear" w:color="auto" w:fill="auto"/>
            <w:vAlign w:val="center"/>
          </w:tcPr>
          <w:p>
            <w:pPr>
              <w:pStyle w:val="43"/>
              <w:rPr>
                <w:color w:val="auto"/>
              </w:rPr>
            </w:pPr>
            <w:r>
              <w:rPr>
                <w:rFonts w:hint="eastAsia"/>
                <w:color w:val="auto"/>
              </w:rPr>
              <w:t>0</w:t>
            </w:r>
            <w:r>
              <w:rPr>
                <w:color w:val="auto"/>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第二次</w:t>
            </w:r>
          </w:p>
        </w:tc>
        <w:tc>
          <w:tcPr>
            <w:tcW w:w="1291" w:type="pct"/>
            <w:shd w:val="clear" w:color="auto" w:fill="auto"/>
            <w:vAlign w:val="center"/>
          </w:tcPr>
          <w:p>
            <w:pPr>
              <w:pStyle w:val="43"/>
              <w:rPr>
                <w:color w:val="auto"/>
              </w:rPr>
            </w:pPr>
            <w:r>
              <w:rPr>
                <w:rFonts w:hint="eastAsia"/>
                <w:color w:val="auto"/>
              </w:rPr>
              <w:t>3</w:t>
            </w:r>
            <w:r>
              <w:rPr>
                <w:color w:val="auto"/>
              </w:rPr>
              <w:t>5.5</w:t>
            </w:r>
          </w:p>
        </w:tc>
        <w:tc>
          <w:tcPr>
            <w:tcW w:w="1292" w:type="pct"/>
            <w:shd w:val="clear" w:color="auto" w:fill="auto"/>
            <w:vAlign w:val="center"/>
          </w:tcPr>
          <w:p>
            <w:pPr>
              <w:pStyle w:val="43"/>
              <w:rPr>
                <w:color w:val="auto"/>
              </w:rPr>
            </w:pPr>
            <w:r>
              <w:rPr>
                <w:rFonts w:hint="eastAsia"/>
                <w:color w:val="auto"/>
              </w:rPr>
              <w:t>0</w:t>
            </w:r>
            <w:r>
              <w:rPr>
                <w:color w:val="auto"/>
              </w:rPr>
              <w:t>.362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第三次</w:t>
            </w:r>
          </w:p>
        </w:tc>
        <w:tc>
          <w:tcPr>
            <w:tcW w:w="1291" w:type="pct"/>
            <w:shd w:val="clear" w:color="auto" w:fill="auto"/>
            <w:vAlign w:val="center"/>
          </w:tcPr>
          <w:p>
            <w:pPr>
              <w:pStyle w:val="43"/>
              <w:rPr>
                <w:color w:val="auto"/>
              </w:rPr>
            </w:pPr>
            <w:r>
              <w:rPr>
                <w:rFonts w:hint="eastAsia"/>
                <w:color w:val="auto"/>
              </w:rPr>
              <w:t>3</w:t>
            </w:r>
            <w:r>
              <w:rPr>
                <w:color w:val="auto"/>
              </w:rPr>
              <w:t>8.2</w:t>
            </w:r>
          </w:p>
        </w:tc>
        <w:tc>
          <w:tcPr>
            <w:tcW w:w="1292" w:type="pct"/>
            <w:shd w:val="clear" w:color="auto" w:fill="auto"/>
            <w:vAlign w:val="center"/>
          </w:tcPr>
          <w:p>
            <w:pPr>
              <w:pStyle w:val="43"/>
              <w:rPr>
                <w:color w:val="auto"/>
              </w:rPr>
            </w:pPr>
            <w:r>
              <w:rPr>
                <w:rFonts w:hint="eastAsia"/>
                <w:color w:val="auto"/>
              </w:rPr>
              <w:t>0</w:t>
            </w:r>
            <w:r>
              <w:rPr>
                <w:color w:val="auto"/>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平均值</w:t>
            </w:r>
          </w:p>
        </w:tc>
        <w:tc>
          <w:tcPr>
            <w:tcW w:w="1291" w:type="pct"/>
            <w:shd w:val="clear" w:color="auto" w:fill="auto"/>
            <w:vAlign w:val="center"/>
          </w:tcPr>
          <w:p>
            <w:pPr>
              <w:pStyle w:val="43"/>
              <w:rPr>
                <w:color w:val="auto"/>
              </w:rPr>
            </w:pPr>
            <w:r>
              <w:rPr>
                <w:rFonts w:hint="eastAsia"/>
                <w:color w:val="auto"/>
              </w:rPr>
              <w:t>3</w:t>
            </w:r>
            <w:r>
              <w:rPr>
                <w:color w:val="auto"/>
              </w:rPr>
              <w:t>6.5</w:t>
            </w:r>
          </w:p>
        </w:tc>
        <w:tc>
          <w:tcPr>
            <w:tcW w:w="1292" w:type="pct"/>
            <w:shd w:val="clear" w:color="auto" w:fill="auto"/>
            <w:vAlign w:val="center"/>
          </w:tcPr>
          <w:p>
            <w:pPr>
              <w:pStyle w:val="43"/>
              <w:rPr>
                <w:color w:val="auto"/>
              </w:rPr>
            </w:pPr>
            <w:r>
              <w:rPr>
                <w:rFonts w:hint="eastAsia"/>
                <w:color w:val="auto"/>
              </w:rPr>
              <w:t>0</w:t>
            </w:r>
            <w:r>
              <w:rPr>
                <w:color w:val="auto"/>
              </w:rPr>
              <w:t>.373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restart"/>
            <w:shd w:val="clear" w:color="auto" w:fill="auto"/>
            <w:vAlign w:val="center"/>
          </w:tcPr>
          <w:p>
            <w:pPr>
              <w:pStyle w:val="43"/>
              <w:rPr>
                <w:color w:val="auto"/>
              </w:rPr>
            </w:pPr>
            <w:r>
              <w:rPr>
                <w:b/>
                <w:bCs/>
                <w:color w:val="auto"/>
              </w:rPr>
              <w:t>采样位置</w:t>
            </w:r>
          </w:p>
        </w:tc>
        <w:tc>
          <w:tcPr>
            <w:tcW w:w="1502" w:type="pct"/>
            <w:gridSpan w:val="2"/>
            <w:vMerge w:val="restart"/>
            <w:shd w:val="clear" w:color="auto" w:fill="auto"/>
            <w:vAlign w:val="center"/>
          </w:tcPr>
          <w:p>
            <w:pPr>
              <w:pStyle w:val="43"/>
              <w:rPr>
                <w:color w:val="auto"/>
              </w:rPr>
            </w:pPr>
            <w:r>
              <w:rPr>
                <w:b/>
                <w:bCs/>
                <w:color w:val="auto"/>
              </w:rPr>
              <w:t>监测时间</w:t>
            </w:r>
          </w:p>
        </w:tc>
        <w:tc>
          <w:tcPr>
            <w:tcW w:w="2583" w:type="pct"/>
            <w:gridSpan w:val="2"/>
            <w:shd w:val="clear" w:color="auto" w:fill="auto"/>
            <w:vAlign w:val="center"/>
          </w:tcPr>
          <w:p>
            <w:pPr>
              <w:pStyle w:val="43"/>
              <w:rPr>
                <w:color w:val="auto"/>
              </w:rPr>
            </w:pPr>
            <w:r>
              <w:rPr>
                <w:rFonts w:hint="eastAsia"/>
                <w:b/>
                <w:bCs/>
                <w:color w:val="auto"/>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1502" w:type="pct"/>
            <w:gridSpan w:val="2"/>
            <w:vMerge w:val="continue"/>
            <w:shd w:val="clear" w:color="auto" w:fill="auto"/>
            <w:vAlign w:val="center"/>
          </w:tcPr>
          <w:p>
            <w:pPr>
              <w:pStyle w:val="43"/>
              <w:rPr>
                <w:color w:val="auto"/>
              </w:rPr>
            </w:pPr>
          </w:p>
        </w:tc>
        <w:tc>
          <w:tcPr>
            <w:tcW w:w="1291" w:type="pct"/>
            <w:shd w:val="clear" w:color="auto" w:fill="auto"/>
            <w:vAlign w:val="center"/>
          </w:tcPr>
          <w:p>
            <w:pPr>
              <w:pStyle w:val="43"/>
              <w:rPr>
                <w:color w:val="auto"/>
              </w:rPr>
            </w:pPr>
            <w:r>
              <w:rPr>
                <w:rFonts w:hint="eastAsia"/>
                <w:b/>
                <w:bCs/>
                <w:color w:val="auto"/>
              </w:rPr>
              <w:t>非甲烷总烃产生浓度（mg</w:t>
            </w:r>
            <w:r>
              <w:rPr>
                <w:b/>
                <w:bCs/>
                <w:color w:val="auto"/>
              </w:rPr>
              <w:t>/</w:t>
            </w:r>
            <w:r>
              <w:rPr>
                <w:rFonts w:hint="eastAsia"/>
                <w:b/>
                <w:bCs/>
                <w:color w:val="auto"/>
              </w:rPr>
              <w:t>m³）</w:t>
            </w:r>
          </w:p>
        </w:tc>
        <w:tc>
          <w:tcPr>
            <w:tcW w:w="1292" w:type="pct"/>
            <w:shd w:val="clear" w:color="auto" w:fill="auto"/>
            <w:vAlign w:val="center"/>
          </w:tcPr>
          <w:p>
            <w:pPr>
              <w:pStyle w:val="43"/>
              <w:rPr>
                <w:color w:val="auto"/>
              </w:rPr>
            </w:pPr>
            <w:r>
              <w:rPr>
                <w:rFonts w:hint="eastAsia"/>
                <w:b/>
                <w:bCs/>
                <w:color w:val="auto"/>
              </w:rPr>
              <w:t>非甲烷总烃产生浓度（mg</w:t>
            </w:r>
            <w:r>
              <w:rPr>
                <w:b/>
                <w:bCs/>
                <w:color w:val="auto"/>
              </w:rPr>
              <w:t>/</w:t>
            </w:r>
            <w:r>
              <w:rPr>
                <w:rFonts w:hint="eastAsia"/>
                <w:b/>
                <w:bCs/>
                <w:color w:val="auto"/>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restart"/>
            <w:shd w:val="clear" w:color="auto" w:fill="auto"/>
            <w:vAlign w:val="center"/>
          </w:tcPr>
          <w:p>
            <w:pPr>
              <w:pStyle w:val="43"/>
              <w:rPr>
                <w:color w:val="auto"/>
              </w:rPr>
            </w:pPr>
            <w:r>
              <w:rPr>
                <w:rFonts w:hint="eastAsia"/>
                <w:color w:val="auto"/>
              </w:rPr>
              <w:t>涂层工序废气处理设施进口</w:t>
            </w:r>
            <w:r>
              <w:rPr>
                <w:color w:val="auto"/>
              </w:rPr>
              <w:t>2</w:t>
            </w:r>
          </w:p>
        </w:tc>
        <w:tc>
          <w:tcPr>
            <w:tcW w:w="751" w:type="pct"/>
            <w:vMerge w:val="restart"/>
            <w:shd w:val="clear" w:color="auto" w:fill="auto"/>
            <w:vAlign w:val="center"/>
          </w:tcPr>
          <w:p>
            <w:pPr>
              <w:pStyle w:val="43"/>
              <w:rPr>
                <w:color w:val="auto"/>
              </w:rPr>
            </w:pPr>
            <w:r>
              <w:rPr>
                <w:color w:val="auto"/>
              </w:rPr>
              <w:t>2022.9.2</w:t>
            </w:r>
          </w:p>
        </w:tc>
        <w:tc>
          <w:tcPr>
            <w:tcW w:w="751" w:type="pct"/>
            <w:shd w:val="clear" w:color="auto" w:fill="auto"/>
            <w:vAlign w:val="center"/>
          </w:tcPr>
          <w:p>
            <w:pPr>
              <w:pStyle w:val="43"/>
              <w:rPr>
                <w:color w:val="auto"/>
              </w:rPr>
            </w:pPr>
            <w:r>
              <w:rPr>
                <w:color w:val="auto"/>
              </w:rPr>
              <w:t>第一次</w:t>
            </w:r>
          </w:p>
        </w:tc>
        <w:tc>
          <w:tcPr>
            <w:tcW w:w="1291" w:type="pct"/>
            <w:shd w:val="clear" w:color="auto" w:fill="auto"/>
            <w:vAlign w:val="center"/>
          </w:tcPr>
          <w:p>
            <w:pPr>
              <w:pStyle w:val="43"/>
              <w:rPr>
                <w:color w:val="auto"/>
              </w:rPr>
            </w:pPr>
            <w:r>
              <w:rPr>
                <w:rFonts w:hint="eastAsia"/>
                <w:color w:val="auto"/>
              </w:rPr>
              <w:t>3</w:t>
            </w:r>
            <w:r>
              <w:rPr>
                <w:color w:val="auto"/>
              </w:rPr>
              <w:t>8.0</w:t>
            </w:r>
          </w:p>
        </w:tc>
        <w:tc>
          <w:tcPr>
            <w:tcW w:w="1292" w:type="pct"/>
            <w:shd w:val="clear" w:color="auto" w:fill="auto"/>
            <w:vAlign w:val="center"/>
          </w:tcPr>
          <w:p>
            <w:pPr>
              <w:pStyle w:val="43"/>
              <w:rPr>
                <w:color w:val="auto"/>
              </w:rPr>
            </w:pPr>
            <w:r>
              <w:rPr>
                <w:color w:val="auto"/>
              </w:rPr>
              <w:t>0.405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第二次</w:t>
            </w:r>
          </w:p>
        </w:tc>
        <w:tc>
          <w:tcPr>
            <w:tcW w:w="1291" w:type="pct"/>
            <w:shd w:val="clear" w:color="auto" w:fill="auto"/>
            <w:vAlign w:val="center"/>
          </w:tcPr>
          <w:p>
            <w:pPr>
              <w:pStyle w:val="43"/>
              <w:rPr>
                <w:color w:val="auto"/>
              </w:rPr>
            </w:pPr>
            <w:r>
              <w:rPr>
                <w:rFonts w:hint="eastAsia"/>
                <w:color w:val="auto"/>
              </w:rPr>
              <w:t>3</w:t>
            </w:r>
            <w:r>
              <w:rPr>
                <w:color w:val="auto"/>
              </w:rPr>
              <w:t>9.5</w:t>
            </w:r>
          </w:p>
        </w:tc>
        <w:tc>
          <w:tcPr>
            <w:tcW w:w="1292" w:type="pct"/>
            <w:shd w:val="clear" w:color="auto" w:fill="auto"/>
            <w:vAlign w:val="center"/>
          </w:tcPr>
          <w:p>
            <w:pPr>
              <w:pStyle w:val="43"/>
              <w:rPr>
                <w:color w:val="auto"/>
              </w:rPr>
            </w:pPr>
            <w:r>
              <w:rPr>
                <w:color w:val="auto"/>
              </w:rPr>
              <w:t>0.422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第三次</w:t>
            </w:r>
          </w:p>
        </w:tc>
        <w:tc>
          <w:tcPr>
            <w:tcW w:w="1291" w:type="pct"/>
            <w:shd w:val="clear" w:color="auto" w:fill="auto"/>
            <w:vAlign w:val="center"/>
          </w:tcPr>
          <w:p>
            <w:pPr>
              <w:pStyle w:val="43"/>
              <w:rPr>
                <w:color w:val="auto"/>
              </w:rPr>
            </w:pPr>
            <w:r>
              <w:rPr>
                <w:rFonts w:hint="eastAsia"/>
                <w:color w:val="auto"/>
              </w:rPr>
              <w:t>4</w:t>
            </w:r>
            <w:r>
              <w:rPr>
                <w:color w:val="auto"/>
              </w:rPr>
              <w:t>3.3</w:t>
            </w:r>
          </w:p>
        </w:tc>
        <w:tc>
          <w:tcPr>
            <w:tcW w:w="1292" w:type="pct"/>
            <w:shd w:val="clear" w:color="auto" w:fill="auto"/>
            <w:vAlign w:val="center"/>
          </w:tcPr>
          <w:p>
            <w:pPr>
              <w:pStyle w:val="43"/>
              <w:rPr>
                <w:color w:val="auto"/>
              </w:rPr>
            </w:pPr>
            <w:r>
              <w:rPr>
                <w:color w:val="auto"/>
              </w:rPr>
              <w:t>0.462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平均值</w:t>
            </w:r>
          </w:p>
        </w:tc>
        <w:tc>
          <w:tcPr>
            <w:tcW w:w="1291" w:type="pct"/>
            <w:shd w:val="clear" w:color="auto" w:fill="auto"/>
            <w:vAlign w:val="center"/>
          </w:tcPr>
          <w:p>
            <w:pPr>
              <w:pStyle w:val="43"/>
              <w:rPr>
                <w:color w:val="auto"/>
              </w:rPr>
            </w:pPr>
            <w:r>
              <w:rPr>
                <w:rFonts w:hint="eastAsia"/>
                <w:color w:val="auto"/>
              </w:rPr>
              <w:t>4</w:t>
            </w:r>
            <w:r>
              <w:rPr>
                <w:color w:val="auto"/>
              </w:rPr>
              <w:t>0.3</w:t>
            </w:r>
          </w:p>
        </w:tc>
        <w:tc>
          <w:tcPr>
            <w:tcW w:w="1292" w:type="pct"/>
            <w:shd w:val="clear" w:color="auto" w:fill="auto"/>
            <w:vAlign w:val="center"/>
          </w:tcPr>
          <w:p>
            <w:pPr>
              <w:pStyle w:val="43"/>
              <w:rPr>
                <w:color w:val="auto"/>
              </w:rPr>
            </w:pPr>
            <w:r>
              <w:rPr>
                <w:color w:val="auto"/>
              </w:rPr>
              <w:t>0.429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restart"/>
            <w:shd w:val="clear" w:color="auto" w:fill="auto"/>
            <w:vAlign w:val="center"/>
          </w:tcPr>
          <w:p>
            <w:pPr>
              <w:pStyle w:val="43"/>
              <w:rPr>
                <w:color w:val="auto"/>
              </w:rPr>
            </w:pPr>
            <w:r>
              <w:rPr>
                <w:color w:val="auto"/>
              </w:rPr>
              <w:t>2022.9.3</w:t>
            </w:r>
          </w:p>
        </w:tc>
        <w:tc>
          <w:tcPr>
            <w:tcW w:w="751" w:type="pct"/>
            <w:shd w:val="clear" w:color="auto" w:fill="auto"/>
            <w:vAlign w:val="center"/>
          </w:tcPr>
          <w:p>
            <w:pPr>
              <w:pStyle w:val="43"/>
              <w:rPr>
                <w:color w:val="auto"/>
              </w:rPr>
            </w:pPr>
            <w:r>
              <w:rPr>
                <w:color w:val="auto"/>
              </w:rPr>
              <w:t>第一次</w:t>
            </w:r>
          </w:p>
        </w:tc>
        <w:tc>
          <w:tcPr>
            <w:tcW w:w="1291" w:type="pct"/>
            <w:shd w:val="clear" w:color="auto" w:fill="auto"/>
            <w:vAlign w:val="center"/>
          </w:tcPr>
          <w:p>
            <w:pPr>
              <w:pStyle w:val="43"/>
              <w:rPr>
                <w:color w:val="auto"/>
              </w:rPr>
            </w:pPr>
            <w:r>
              <w:rPr>
                <w:rFonts w:hint="eastAsia"/>
                <w:color w:val="auto"/>
              </w:rPr>
              <w:t>4</w:t>
            </w:r>
            <w:r>
              <w:rPr>
                <w:color w:val="auto"/>
              </w:rPr>
              <w:t>4.4</w:t>
            </w:r>
          </w:p>
        </w:tc>
        <w:tc>
          <w:tcPr>
            <w:tcW w:w="1292" w:type="pct"/>
            <w:shd w:val="clear" w:color="auto" w:fill="auto"/>
            <w:vAlign w:val="center"/>
          </w:tcPr>
          <w:p>
            <w:pPr>
              <w:pStyle w:val="43"/>
              <w:rPr>
                <w:color w:val="auto"/>
              </w:rPr>
            </w:pPr>
            <w:r>
              <w:rPr>
                <w:rFonts w:hint="eastAsia"/>
                <w:color w:val="auto"/>
              </w:rPr>
              <w:t>0</w:t>
            </w:r>
            <w:r>
              <w:rPr>
                <w:color w:val="auto"/>
              </w:rPr>
              <w:t>.483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第二次</w:t>
            </w:r>
          </w:p>
        </w:tc>
        <w:tc>
          <w:tcPr>
            <w:tcW w:w="1291" w:type="pct"/>
            <w:shd w:val="clear" w:color="auto" w:fill="auto"/>
            <w:vAlign w:val="center"/>
          </w:tcPr>
          <w:p>
            <w:pPr>
              <w:pStyle w:val="43"/>
              <w:rPr>
                <w:color w:val="auto"/>
              </w:rPr>
            </w:pPr>
            <w:r>
              <w:rPr>
                <w:rFonts w:hint="eastAsia"/>
                <w:color w:val="auto"/>
              </w:rPr>
              <w:t>4</w:t>
            </w:r>
            <w:r>
              <w:rPr>
                <w:color w:val="auto"/>
              </w:rPr>
              <w:t>4.1</w:t>
            </w:r>
          </w:p>
        </w:tc>
        <w:tc>
          <w:tcPr>
            <w:tcW w:w="1292" w:type="pct"/>
            <w:shd w:val="clear" w:color="auto" w:fill="auto"/>
            <w:vAlign w:val="center"/>
          </w:tcPr>
          <w:p>
            <w:pPr>
              <w:pStyle w:val="43"/>
              <w:rPr>
                <w:color w:val="auto"/>
              </w:rPr>
            </w:pPr>
            <w:r>
              <w:rPr>
                <w:rFonts w:hint="eastAsia"/>
                <w:color w:val="auto"/>
              </w:rPr>
              <w:t>0</w:t>
            </w:r>
            <w:r>
              <w:rPr>
                <w:color w:val="auto"/>
              </w:rPr>
              <w:t>.479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第三次</w:t>
            </w:r>
          </w:p>
        </w:tc>
        <w:tc>
          <w:tcPr>
            <w:tcW w:w="1291" w:type="pct"/>
            <w:shd w:val="clear" w:color="auto" w:fill="auto"/>
            <w:vAlign w:val="center"/>
          </w:tcPr>
          <w:p>
            <w:pPr>
              <w:pStyle w:val="43"/>
              <w:rPr>
                <w:color w:val="auto"/>
              </w:rPr>
            </w:pPr>
            <w:r>
              <w:rPr>
                <w:rFonts w:hint="eastAsia"/>
                <w:color w:val="auto"/>
              </w:rPr>
              <w:t>4</w:t>
            </w:r>
            <w:r>
              <w:rPr>
                <w:color w:val="auto"/>
              </w:rPr>
              <w:t>4.4</w:t>
            </w:r>
          </w:p>
        </w:tc>
        <w:tc>
          <w:tcPr>
            <w:tcW w:w="1292" w:type="pct"/>
            <w:shd w:val="clear" w:color="auto" w:fill="auto"/>
            <w:vAlign w:val="center"/>
          </w:tcPr>
          <w:p>
            <w:pPr>
              <w:pStyle w:val="43"/>
              <w:rPr>
                <w:color w:val="auto"/>
              </w:rPr>
            </w:pPr>
            <w:r>
              <w:rPr>
                <w:rFonts w:hint="eastAsia"/>
                <w:color w:val="auto"/>
              </w:rPr>
              <w:t>0</w:t>
            </w:r>
            <w:r>
              <w:rPr>
                <w:color w:val="auto"/>
              </w:rPr>
              <w:t>.483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pct"/>
            <w:vMerge w:val="continue"/>
            <w:shd w:val="clear" w:color="auto" w:fill="auto"/>
            <w:vAlign w:val="center"/>
          </w:tcPr>
          <w:p>
            <w:pPr>
              <w:pStyle w:val="43"/>
              <w:rPr>
                <w:color w:val="auto"/>
              </w:rPr>
            </w:pPr>
          </w:p>
        </w:tc>
        <w:tc>
          <w:tcPr>
            <w:tcW w:w="751" w:type="pct"/>
            <w:vMerge w:val="continue"/>
            <w:shd w:val="clear" w:color="auto" w:fill="auto"/>
            <w:vAlign w:val="center"/>
          </w:tcPr>
          <w:p>
            <w:pPr>
              <w:pStyle w:val="43"/>
              <w:rPr>
                <w:color w:val="auto"/>
              </w:rPr>
            </w:pPr>
          </w:p>
        </w:tc>
        <w:tc>
          <w:tcPr>
            <w:tcW w:w="751" w:type="pct"/>
            <w:shd w:val="clear" w:color="auto" w:fill="auto"/>
            <w:vAlign w:val="center"/>
          </w:tcPr>
          <w:p>
            <w:pPr>
              <w:pStyle w:val="43"/>
              <w:rPr>
                <w:color w:val="auto"/>
              </w:rPr>
            </w:pPr>
            <w:r>
              <w:rPr>
                <w:color w:val="auto"/>
              </w:rPr>
              <w:t>平均值</w:t>
            </w:r>
          </w:p>
        </w:tc>
        <w:tc>
          <w:tcPr>
            <w:tcW w:w="1291" w:type="pct"/>
            <w:shd w:val="clear" w:color="auto" w:fill="auto"/>
            <w:vAlign w:val="center"/>
          </w:tcPr>
          <w:p>
            <w:pPr>
              <w:pStyle w:val="43"/>
              <w:rPr>
                <w:color w:val="auto"/>
              </w:rPr>
            </w:pPr>
            <w:r>
              <w:rPr>
                <w:rFonts w:hint="eastAsia"/>
                <w:color w:val="auto"/>
              </w:rPr>
              <w:t>4</w:t>
            </w:r>
            <w:r>
              <w:rPr>
                <w:color w:val="auto"/>
              </w:rPr>
              <w:t>4.3</w:t>
            </w:r>
          </w:p>
        </w:tc>
        <w:tc>
          <w:tcPr>
            <w:tcW w:w="1292" w:type="pct"/>
            <w:shd w:val="clear" w:color="auto" w:fill="auto"/>
            <w:vAlign w:val="center"/>
          </w:tcPr>
          <w:p>
            <w:pPr>
              <w:pStyle w:val="43"/>
              <w:rPr>
                <w:color w:val="auto"/>
              </w:rPr>
            </w:pPr>
            <w:r>
              <w:rPr>
                <w:rFonts w:hint="eastAsia"/>
                <w:color w:val="auto"/>
              </w:rPr>
              <w:t>0</w:t>
            </w:r>
            <w:r>
              <w:rPr>
                <w:color w:val="auto"/>
              </w:rPr>
              <w:t>.482</w:t>
            </w:r>
          </w:p>
        </w:tc>
      </w:tr>
    </w:tbl>
    <w:p>
      <w:pPr>
        <w:pStyle w:val="39"/>
        <w:spacing w:before="62" w:after="31"/>
        <w:rPr>
          <w:color w:val="auto"/>
        </w:rPr>
      </w:pPr>
      <w:r>
        <w:rPr>
          <w:color w:val="auto"/>
        </w:rPr>
        <w:t>表9-4  复合</w:t>
      </w:r>
      <w:r>
        <w:rPr>
          <w:rFonts w:hint="eastAsia"/>
          <w:color w:val="auto"/>
        </w:rPr>
        <w:t>废气处理设施出口</w:t>
      </w:r>
      <w:r>
        <w:rPr>
          <w:color w:val="auto"/>
        </w:rPr>
        <w:t>监测结果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134"/>
        <w:gridCol w:w="1559"/>
        <w:gridCol w:w="1700"/>
        <w:gridCol w:w="1702"/>
        <w:gridCol w:w="1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restart"/>
            <w:shd w:val="clear" w:color="auto" w:fill="auto"/>
            <w:vAlign w:val="center"/>
          </w:tcPr>
          <w:p>
            <w:pPr>
              <w:pStyle w:val="43"/>
              <w:rPr>
                <w:b/>
                <w:bCs/>
                <w:color w:val="auto"/>
              </w:rPr>
            </w:pPr>
            <w:r>
              <w:rPr>
                <w:b/>
                <w:bCs/>
                <w:color w:val="auto"/>
              </w:rPr>
              <w:t>采样</w:t>
            </w:r>
          </w:p>
          <w:p>
            <w:pPr>
              <w:pStyle w:val="43"/>
              <w:rPr>
                <w:b/>
                <w:bCs/>
                <w:color w:val="auto"/>
              </w:rPr>
            </w:pPr>
            <w:r>
              <w:rPr>
                <w:b/>
                <w:bCs/>
                <w:color w:val="auto"/>
              </w:rPr>
              <w:t>位置</w:t>
            </w:r>
          </w:p>
        </w:tc>
        <w:tc>
          <w:tcPr>
            <w:tcW w:w="1544" w:type="pct"/>
            <w:gridSpan w:val="2"/>
            <w:vMerge w:val="restart"/>
            <w:shd w:val="clear" w:color="auto" w:fill="auto"/>
            <w:vAlign w:val="center"/>
          </w:tcPr>
          <w:p>
            <w:pPr>
              <w:pStyle w:val="43"/>
              <w:rPr>
                <w:b/>
                <w:bCs/>
                <w:color w:val="auto"/>
              </w:rPr>
            </w:pPr>
            <w:r>
              <w:rPr>
                <w:b/>
                <w:bCs/>
                <w:color w:val="auto"/>
              </w:rPr>
              <w:t>监测时间</w:t>
            </w:r>
          </w:p>
        </w:tc>
        <w:tc>
          <w:tcPr>
            <w:tcW w:w="2906" w:type="pct"/>
            <w:gridSpan w:val="3"/>
            <w:shd w:val="clear" w:color="auto" w:fill="auto"/>
            <w:vAlign w:val="center"/>
          </w:tcPr>
          <w:p>
            <w:pPr>
              <w:pStyle w:val="43"/>
              <w:rPr>
                <w:b/>
                <w:bCs/>
                <w:color w:val="auto"/>
              </w:rPr>
            </w:pPr>
            <w:r>
              <w:rPr>
                <w:b/>
                <w:bCs/>
                <w:color w:val="auto"/>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b/>
                <w:bCs/>
                <w:color w:val="auto"/>
              </w:rPr>
            </w:pPr>
          </w:p>
        </w:tc>
        <w:tc>
          <w:tcPr>
            <w:tcW w:w="1544" w:type="pct"/>
            <w:gridSpan w:val="2"/>
            <w:vMerge w:val="continue"/>
            <w:shd w:val="clear" w:color="auto" w:fill="auto"/>
            <w:vAlign w:val="center"/>
          </w:tcPr>
          <w:p>
            <w:pPr>
              <w:pStyle w:val="43"/>
              <w:rPr>
                <w:b/>
                <w:bCs/>
                <w:color w:val="auto"/>
              </w:rPr>
            </w:pPr>
          </w:p>
        </w:tc>
        <w:tc>
          <w:tcPr>
            <w:tcW w:w="1951" w:type="pct"/>
            <w:gridSpan w:val="2"/>
            <w:shd w:val="clear" w:color="auto" w:fill="auto"/>
            <w:vAlign w:val="center"/>
          </w:tcPr>
          <w:p>
            <w:pPr>
              <w:pStyle w:val="43"/>
              <w:rPr>
                <w:b/>
                <w:bCs/>
                <w:color w:val="auto"/>
              </w:rPr>
            </w:pPr>
            <w:r>
              <w:rPr>
                <w:rFonts w:hint="eastAsia"/>
                <w:b/>
                <w:bCs/>
                <w:color w:val="auto"/>
              </w:rPr>
              <w:t>非甲烷总烃</w:t>
            </w:r>
          </w:p>
        </w:tc>
        <w:tc>
          <w:tcPr>
            <w:tcW w:w="955" w:type="pct"/>
            <w:shd w:val="clear" w:color="auto" w:fill="auto"/>
            <w:vAlign w:val="center"/>
          </w:tcPr>
          <w:p>
            <w:pPr>
              <w:pStyle w:val="43"/>
              <w:rPr>
                <w:b/>
                <w:bCs/>
                <w:color w:val="auto"/>
              </w:rPr>
            </w:pPr>
            <w:r>
              <w:rPr>
                <w:rFonts w:hint="eastAsia"/>
                <w:b/>
                <w:bCs/>
                <w:color w:val="auto"/>
              </w:rPr>
              <w:t>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b/>
                <w:bCs/>
                <w:color w:val="auto"/>
              </w:rPr>
            </w:pPr>
          </w:p>
        </w:tc>
        <w:tc>
          <w:tcPr>
            <w:tcW w:w="1544" w:type="pct"/>
            <w:gridSpan w:val="2"/>
            <w:vMerge w:val="continue"/>
            <w:shd w:val="clear" w:color="auto" w:fill="auto"/>
            <w:vAlign w:val="center"/>
          </w:tcPr>
          <w:p>
            <w:pPr>
              <w:pStyle w:val="43"/>
              <w:rPr>
                <w:b/>
                <w:bCs/>
                <w:color w:val="auto"/>
              </w:rPr>
            </w:pPr>
          </w:p>
        </w:tc>
        <w:tc>
          <w:tcPr>
            <w:tcW w:w="975" w:type="pct"/>
            <w:shd w:val="clear" w:color="auto" w:fill="auto"/>
            <w:vAlign w:val="center"/>
          </w:tcPr>
          <w:p>
            <w:pPr>
              <w:pStyle w:val="43"/>
              <w:rPr>
                <w:b/>
                <w:bCs/>
                <w:color w:val="auto"/>
              </w:rPr>
            </w:pPr>
            <w:r>
              <w:rPr>
                <w:b/>
                <w:bCs/>
                <w:color w:val="auto"/>
              </w:rPr>
              <w:t>排放浓度</w:t>
            </w:r>
          </w:p>
          <w:p>
            <w:pPr>
              <w:pStyle w:val="43"/>
              <w:rPr>
                <w:b/>
                <w:bCs/>
                <w:color w:val="auto"/>
              </w:rPr>
            </w:pPr>
            <w:r>
              <w:rPr>
                <w:b/>
                <w:bCs/>
                <w:color w:val="auto"/>
              </w:rPr>
              <w:t>(mg/m³)</w:t>
            </w:r>
          </w:p>
        </w:tc>
        <w:tc>
          <w:tcPr>
            <w:tcW w:w="976" w:type="pct"/>
            <w:shd w:val="clear" w:color="auto" w:fill="auto"/>
            <w:vAlign w:val="center"/>
          </w:tcPr>
          <w:p>
            <w:pPr>
              <w:pStyle w:val="43"/>
              <w:rPr>
                <w:b/>
                <w:bCs/>
                <w:color w:val="auto"/>
              </w:rPr>
            </w:pPr>
            <w:r>
              <w:rPr>
                <w:b/>
                <w:bCs/>
                <w:color w:val="auto"/>
              </w:rPr>
              <w:t>排放速率</w:t>
            </w:r>
          </w:p>
          <w:p>
            <w:pPr>
              <w:pStyle w:val="43"/>
              <w:rPr>
                <w:b/>
                <w:bCs/>
                <w:color w:val="auto"/>
              </w:rPr>
            </w:pPr>
            <w:r>
              <w:rPr>
                <w:b/>
                <w:bCs/>
                <w:color w:val="auto"/>
              </w:rPr>
              <w:t>(kg/h)</w:t>
            </w:r>
          </w:p>
        </w:tc>
        <w:tc>
          <w:tcPr>
            <w:tcW w:w="955" w:type="pct"/>
            <w:shd w:val="clear" w:color="auto" w:fill="auto"/>
            <w:vAlign w:val="center"/>
          </w:tcPr>
          <w:p>
            <w:pPr>
              <w:pStyle w:val="43"/>
              <w:rPr>
                <w:b/>
                <w:bCs/>
                <w:color w:val="auto"/>
              </w:rPr>
            </w:pPr>
            <w:r>
              <w:rPr>
                <w:rFonts w:hint="eastAsia"/>
                <w:b/>
                <w:bCs/>
                <w:color w:val="auto"/>
              </w:rPr>
              <w:t>排放值</w:t>
            </w:r>
          </w:p>
          <w:p>
            <w:pPr>
              <w:pStyle w:val="43"/>
              <w:rPr>
                <w:b/>
                <w:bCs/>
                <w:color w:val="auto"/>
              </w:rPr>
            </w:pPr>
            <w:r>
              <w:rPr>
                <w:rFonts w:hint="eastAsia"/>
                <w:b/>
                <w:bCs/>
                <w:color w:val="auto"/>
              </w:rPr>
              <w:t>(无量纲</w:t>
            </w:r>
            <w:r>
              <w:rPr>
                <w:b/>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restart"/>
            <w:shd w:val="clear" w:color="auto" w:fill="auto"/>
            <w:vAlign w:val="center"/>
          </w:tcPr>
          <w:p>
            <w:pPr>
              <w:pStyle w:val="43"/>
              <w:rPr>
                <w:color w:val="auto"/>
              </w:rPr>
            </w:pPr>
            <w:r>
              <w:rPr>
                <w:rFonts w:hint="eastAsia"/>
                <w:color w:val="auto"/>
              </w:rPr>
              <w:t>复合工序废气处理设施出口</w:t>
            </w:r>
          </w:p>
        </w:tc>
        <w:tc>
          <w:tcPr>
            <w:tcW w:w="650" w:type="pct"/>
            <w:vMerge w:val="restart"/>
            <w:shd w:val="clear" w:color="auto" w:fill="auto"/>
            <w:vAlign w:val="center"/>
          </w:tcPr>
          <w:p>
            <w:pPr>
              <w:pStyle w:val="43"/>
              <w:rPr>
                <w:color w:val="auto"/>
              </w:rPr>
            </w:pPr>
            <w:r>
              <w:rPr>
                <w:color w:val="auto"/>
              </w:rPr>
              <w:t>2022.9.2</w:t>
            </w:r>
          </w:p>
        </w:tc>
        <w:tc>
          <w:tcPr>
            <w:tcW w:w="894" w:type="pct"/>
            <w:shd w:val="clear" w:color="auto" w:fill="auto"/>
            <w:vAlign w:val="center"/>
          </w:tcPr>
          <w:p>
            <w:pPr>
              <w:pStyle w:val="43"/>
              <w:rPr>
                <w:color w:val="auto"/>
              </w:rPr>
            </w:pPr>
            <w:r>
              <w:rPr>
                <w:color w:val="auto"/>
              </w:rPr>
              <w:t>第一次</w:t>
            </w:r>
          </w:p>
        </w:tc>
        <w:tc>
          <w:tcPr>
            <w:tcW w:w="975" w:type="pct"/>
            <w:shd w:val="clear" w:color="auto" w:fill="auto"/>
            <w:vAlign w:val="center"/>
          </w:tcPr>
          <w:p>
            <w:pPr>
              <w:pStyle w:val="43"/>
              <w:rPr>
                <w:color w:val="auto"/>
              </w:rPr>
            </w:pPr>
            <w:r>
              <w:rPr>
                <w:rFonts w:hint="eastAsia"/>
                <w:color w:val="auto"/>
              </w:rPr>
              <w:t>0</w:t>
            </w:r>
            <w:r>
              <w:rPr>
                <w:color w:val="auto"/>
              </w:rPr>
              <w:t>.74</w:t>
            </w:r>
          </w:p>
        </w:tc>
        <w:tc>
          <w:tcPr>
            <w:tcW w:w="976" w:type="pct"/>
            <w:shd w:val="clear" w:color="auto" w:fill="auto"/>
            <w:vAlign w:val="center"/>
          </w:tcPr>
          <w:p>
            <w:pPr>
              <w:pStyle w:val="43"/>
              <w:rPr>
                <w:color w:val="auto"/>
              </w:rPr>
            </w:pPr>
            <w:r>
              <w:rPr>
                <w:color w:val="auto"/>
              </w:rPr>
              <w:t>2.17×10</w:t>
            </w:r>
            <w:r>
              <w:rPr>
                <w:color w:val="auto"/>
                <w:vertAlign w:val="superscript"/>
              </w:rPr>
              <w:t>-2</w:t>
            </w:r>
          </w:p>
        </w:tc>
        <w:tc>
          <w:tcPr>
            <w:tcW w:w="955" w:type="pct"/>
            <w:vAlign w:val="center"/>
          </w:tcPr>
          <w:p>
            <w:pPr>
              <w:pStyle w:val="43"/>
              <w:rPr>
                <w:color w:val="auto"/>
              </w:rPr>
            </w:pPr>
            <w:r>
              <w:rPr>
                <w:rFonts w:hint="eastAsia"/>
                <w:color w:val="auto"/>
              </w:rPr>
              <w:t>2</w:t>
            </w:r>
            <w:r>
              <w:rPr>
                <w:color w:val="auto"/>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continue"/>
            <w:shd w:val="clear" w:color="auto" w:fill="auto"/>
            <w:vAlign w:val="center"/>
          </w:tcPr>
          <w:p>
            <w:pPr>
              <w:pStyle w:val="43"/>
              <w:rPr>
                <w:color w:val="auto"/>
              </w:rPr>
            </w:pPr>
          </w:p>
        </w:tc>
        <w:tc>
          <w:tcPr>
            <w:tcW w:w="894" w:type="pct"/>
            <w:shd w:val="clear" w:color="auto" w:fill="auto"/>
            <w:vAlign w:val="center"/>
          </w:tcPr>
          <w:p>
            <w:pPr>
              <w:pStyle w:val="43"/>
              <w:rPr>
                <w:color w:val="auto"/>
              </w:rPr>
            </w:pPr>
            <w:r>
              <w:rPr>
                <w:color w:val="auto"/>
              </w:rPr>
              <w:t>第二次</w:t>
            </w:r>
          </w:p>
        </w:tc>
        <w:tc>
          <w:tcPr>
            <w:tcW w:w="975" w:type="pct"/>
            <w:shd w:val="clear" w:color="auto" w:fill="auto"/>
            <w:vAlign w:val="center"/>
          </w:tcPr>
          <w:p>
            <w:pPr>
              <w:pStyle w:val="43"/>
              <w:rPr>
                <w:color w:val="auto"/>
              </w:rPr>
            </w:pPr>
            <w:r>
              <w:rPr>
                <w:rFonts w:hint="eastAsia"/>
                <w:color w:val="auto"/>
              </w:rPr>
              <w:t>0</w:t>
            </w:r>
            <w:r>
              <w:rPr>
                <w:color w:val="auto"/>
              </w:rPr>
              <w:t>.68</w:t>
            </w:r>
          </w:p>
        </w:tc>
        <w:tc>
          <w:tcPr>
            <w:tcW w:w="976" w:type="pct"/>
            <w:shd w:val="clear" w:color="auto" w:fill="auto"/>
            <w:vAlign w:val="center"/>
          </w:tcPr>
          <w:p>
            <w:pPr>
              <w:pStyle w:val="43"/>
              <w:rPr>
                <w:color w:val="auto"/>
              </w:rPr>
            </w:pPr>
            <w:r>
              <w:rPr>
                <w:color w:val="auto"/>
              </w:rPr>
              <w:t>2.0×10</w:t>
            </w:r>
            <w:r>
              <w:rPr>
                <w:color w:val="auto"/>
                <w:vertAlign w:val="superscript"/>
              </w:rPr>
              <w:t>-2</w:t>
            </w:r>
          </w:p>
        </w:tc>
        <w:tc>
          <w:tcPr>
            <w:tcW w:w="955" w:type="pct"/>
            <w:vAlign w:val="center"/>
          </w:tcPr>
          <w:p>
            <w:pPr>
              <w:pStyle w:val="43"/>
              <w:rPr>
                <w:color w:val="auto"/>
              </w:rPr>
            </w:pPr>
            <w:r>
              <w:rPr>
                <w:rFonts w:hint="eastAsia"/>
                <w:color w:val="auto"/>
              </w:rPr>
              <w:t>2</w:t>
            </w:r>
            <w:r>
              <w:rPr>
                <w:color w:val="auto"/>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continue"/>
            <w:shd w:val="clear" w:color="auto" w:fill="auto"/>
            <w:vAlign w:val="center"/>
          </w:tcPr>
          <w:p>
            <w:pPr>
              <w:pStyle w:val="43"/>
              <w:rPr>
                <w:color w:val="auto"/>
              </w:rPr>
            </w:pPr>
          </w:p>
        </w:tc>
        <w:tc>
          <w:tcPr>
            <w:tcW w:w="894" w:type="pct"/>
            <w:shd w:val="clear" w:color="auto" w:fill="auto"/>
            <w:vAlign w:val="center"/>
          </w:tcPr>
          <w:p>
            <w:pPr>
              <w:pStyle w:val="43"/>
              <w:rPr>
                <w:color w:val="auto"/>
              </w:rPr>
            </w:pPr>
            <w:r>
              <w:rPr>
                <w:color w:val="auto"/>
              </w:rPr>
              <w:t>第三次</w:t>
            </w:r>
          </w:p>
        </w:tc>
        <w:tc>
          <w:tcPr>
            <w:tcW w:w="975" w:type="pct"/>
            <w:shd w:val="clear" w:color="auto" w:fill="auto"/>
            <w:vAlign w:val="center"/>
          </w:tcPr>
          <w:p>
            <w:pPr>
              <w:pStyle w:val="43"/>
              <w:rPr>
                <w:color w:val="auto"/>
              </w:rPr>
            </w:pPr>
            <w:r>
              <w:rPr>
                <w:rFonts w:hint="eastAsia"/>
                <w:color w:val="auto"/>
              </w:rPr>
              <w:t>0</w:t>
            </w:r>
            <w:r>
              <w:rPr>
                <w:color w:val="auto"/>
              </w:rPr>
              <w:t>.61</w:t>
            </w:r>
          </w:p>
        </w:tc>
        <w:tc>
          <w:tcPr>
            <w:tcW w:w="976" w:type="pct"/>
            <w:shd w:val="clear" w:color="auto" w:fill="auto"/>
            <w:vAlign w:val="center"/>
          </w:tcPr>
          <w:p>
            <w:pPr>
              <w:pStyle w:val="43"/>
              <w:rPr>
                <w:color w:val="auto"/>
              </w:rPr>
            </w:pPr>
            <w:r>
              <w:rPr>
                <w:color w:val="auto"/>
              </w:rPr>
              <w:t>1.79×10</w:t>
            </w:r>
            <w:r>
              <w:rPr>
                <w:color w:val="auto"/>
                <w:vertAlign w:val="superscript"/>
              </w:rPr>
              <w:t>-2</w:t>
            </w:r>
          </w:p>
        </w:tc>
        <w:tc>
          <w:tcPr>
            <w:tcW w:w="955" w:type="pct"/>
            <w:vAlign w:val="center"/>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continue"/>
            <w:shd w:val="clear" w:color="auto" w:fill="auto"/>
            <w:vAlign w:val="center"/>
          </w:tcPr>
          <w:p>
            <w:pPr>
              <w:pStyle w:val="43"/>
              <w:rPr>
                <w:color w:val="auto"/>
              </w:rPr>
            </w:pPr>
          </w:p>
        </w:tc>
        <w:tc>
          <w:tcPr>
            <w:tcW w:w="894" w:type="pct"/>
            <w:shd w:val="clear" w:color="auto" w:fill="auto"/>
            <w:vAlign w:val="center"/>
          </w:tcPr>
          <w:p>
            <w:pPr>
              <w:pStyle w:val="43"/>
              <w:rPr>
                <w:color w:val="auto"/>
              </w:rPr>
            </w:pPr>
            <w:r>
              <w:rPr>
                <w:color w:val="auto"/>
              </w:rPr>
              <w:t>平均值</w:t>
            </w:r>
          </w:p>
        </w:tc>
        <w:tc>
          <w:tcPr>
            <w:tcW w:w="975" w:type="pct"/>
            <w:shd w:val="clear" w:color="auto" w:fill="auto"/>
            <w:vAlign w:val="center"/>
          </w:tcPr>
          <w:p>
            <w:pPr>
              <w:pStyle w:val="43"/>
              <w:rPr>
                <w:color w:val="auto"/>
              </w:rPr>
            </w:pPr>
            <w:r>
              <w:rPr>
                <w:rFonts w:hint="eastAsia"/>
                <w:color w:val="auto"/>
              </w:rPr>
              <w:t>0</w:t>
            </w:r>
            <w:r>
              <w:rPr>
                <w:color w:val="auto"/>
              </w:rPr>
              <w:t>.68</w:t>
            </w:r>
          </w:p>
        </w:tc>
        <w:tc>
          <w:tcPr>
            <w:tcW w:w="976" w:type="pct"/>
            <w:shd w:val="clear" w:color="auto" w:fill="auto"/>
            <w:vAlign w:val="center"/>
          </w:tcPr>
          <w:p>
            <w:pPr>
              <w:pStyle w:val="43"/>
              <w:rPr>
                <w:color w:val="auto"/>
              </w:rPr>
            </w:pPr>
            <w:r>
              <w:rPr>
                <w:color w:val="auto"/>
              </w:rPr>
              <w:t>1.98×10</w:t>
            </w:r>
            <w:r>
              <w:rPr>
                <w:color w:val="auto"/>
                <w:vertAlign w:val="superscript"/>
              </w:rPr>
              <w:t>-2</w:t>
            </w:r>
          </w:p>
        </w:tc>
        <w:tc>
          <w:tcPr>
            <w:tcW w:w="955" w:type="pct"/>
            <w:vAlign w:val="center"/>
          </w:tcPr>
          <w:p>
            <w:pPr>
              <w:pStyle w:val="43"/>
              <w:rPr>
                <w:color w:val="auto"/>
              </w:rPr>
            </w:pPr>
            <w:r>
              <w:rPr>
                <w:rFonts w:hint="eastAsia"/>
                <w:color w:val="auto"/>
              </w:rPr>
              <w:t>2</w:t>
            </w:r>
            <w:r>
              <w:rPr>
                <w:color w:val="auto"/>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restart"/>
            <w:shd w:val="clear" w:color="auto" w:fill="auto"/>
            <w:vAlign w:val="center"/>
          </w:tcPr>
          <w:p>
            <w:pPr>
              <w:pStyle w:val="43"/>
              <w:rPr>
                <w:color w:val="auto"/>
              </w:rPr>
            </w:pPr>
            <w:r>
              <w:rPr>
                <w:color w:val="auto"/>
              </w:rPr>
              <w:t>2022.9.3</w:t>
            </w:r>
          </w:p>
        </w:tc>
        <w:tc>
          <w:tcPr>
            <w:tcW w:w="894" w:type="pct"/>
            <w:shd w:val="clear" w:color="auto" w:fill="auto"/>
            <w:vAlign w:val="center"/>
          </w:tcPr>
          <w:p>
            <w:pPr>
              <w:pStyle w:val="43"/>
              <w:rPr>
                <w:color w:val="auto"/>
              </w:rPr>
            </w:pPr>
            <w:r>
              <w:rPr>
                <w:color w:val="auto"/>
              </w:rPr>
              <w:t>第一次</w:t>
            </w:r>
          </w:p>
        </w:tc>
        <w:tc>
          <w:tcPr>
            <w:tcW w:w="975" w:type="pct"/>
            <w:shd w:val="clear" w:color="auto" w:fill="auto"/>
            <w:vAlign w:val="center"/>
          </w:tcPr>
          <w:p>
            <w:pPr>
              <w:pStyle w:val="43"/>
              <w:rPr>
                <w:color w:val="auto"/>
              </w:rPr>
            </w:pPr>
            <w:r>
              <w:rPr>
                <w:rFonts w:hint="eastAsia"/>
                <w:color w:val="auto"/>
              </w:rPr>
              <w:t>0</w:t>
            </w:r>
            <w:r>
              <w:rPr>
                <w:color w:val="auto"/>
              </w:rPr>
              <w:t>.64</w:t>
            </w:r>
          </w:p>
        </w:tc>
        <w:tc>
          <w:tcPr>
            <w:tcW w:w="976" w:type="pct"/>
            <w:shd w:val="clear" w:color="auto" w:fill="auto"/>
            <w:vAlign w:val="center"/>
          </w:tcPr>
          <w:p>
            <w:pPr>
              <w:pStyle w:val="43"/>
              <w:rPr>
                <w:color w:val="auto"/>
              </w:rPr>
            </w:pPr>
            <w:r>
              <w:rPr>
                <w:color w:val="auto"/>
              </w:rPr>
              <w:t>1.72×10</w:t>
            </w:r>
            <w:r>
              <w:rPr>
                <w:color w:val="auto"/>
                <w:vertAlign w:val="superscript"/>
              </w:rPr>
              <w:t>-2</w:t>
            </w:r>
          </w:p>
        </w:tc>
        <w:tc>
          <w:tcPr>
            <w:tcW w:w="955" w:type="pct"/>
            <w:vAlign w:val="center"/>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continue"/>
            <w:shd w:val="clear" w:color="auto" w:fill="auto"/>
            <w:vAlign w:val="center"/>
          </w:tcPr>
          <w:p>
            <w:pPr>
              <w:pStyle w:val="43"/>
              <w:rPr>
                <w:color w:val="auto"/>
              </w:rPr>
            </w:pPr>
          </w:p>
        </w:tc>
        <w:tc>
          <w:tcPr>
            <w:tcW w:w="894" w:type="pct"/>
            <w:shd w:val="clear" w:color="auto" w:fill="auto"/>
            <w:vAlign w:val="center"/>
          </w:tcPr>
          <w:p>
            <w:pPr>
              <w:pStyle w:val="43"/>
              <w:rPr>
                <w:color w:val="auto"/>
              </w:rPr>
            </w:pPr>
            <w:r>
              <w:rPr>
                <w:color w:val="auto"/>
              </w:rPr>
              <w:t>第二次</w:t>
            </w:r>
          </w:p>
        </w:tc>
        <w:tc>
          <w:tcPr>
            <w:tcW w:w="975" w:type="pct"/>
            <w:shd w:val="clear" w:color="auto" w:fill="auto"/>
            <w:vAlign w:val="center"/>
          </w:tcPr>
          <w:p>
            <w:pPr>
              <w:pStyle w:val="43"/>
              <w:rPr>
                <w:color w:val="auto"/>
              </w:rPr>
            </w:pPr>
            <w:r>
              <w:rPr>
                <w:rFonts w:hint="eastAsia"/>
                <w:color w:val="auto"/>
              </w:rPr>
              <w:t>0</w:t>
            </w:r>
            <w:r>
              <w:rPr>
                <w:color w:val="auto"/>
              </w:rPr>
              <w:t>.65</w:t>
            </w:r>
          </w:p>
        </w:tc>
        <w:tc>
          <w:tcPr>
            <w:tcW w:w="976" w:type="pct"/>
            <w:shd w:val="clear" w:color="auto" w:fill="auto"/>
            <w:vAlign w:val="center"/>
          </w:tcPr>
          <w:p>
            <w:pPr>
              <w:pStyle w:val="43"/>
              <w:rPr>
                <w:color w:val="auto"/>
              </w:rPr>
            </w:pPr>
            <w:r>
              <w:rPr>
                <w:color w:val="auto"/>
              </w:rPr>
              <w:t>1.74×10</w:t>
            </w:r>
            <w:r>
              <w:rPr>
                <w:color w:val="auto"/>
                <w:vertAlign w:val="superscript"/>
              </w:rPr>
              <w:t>-2</w:t>
            </w:r>
          </w:p>
        </w:tc>
        <w:tc>
          <w:tcPr>
            <w:tcW w:w="955" w:type="pct"/>
            <w:vAlign w:val="center"/>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continue"/>
            <w:shd w:val="clear" w:color="auto" w:fill="auto"/>
            <w:vAlign w:val="center"/>
          </w:tcPr>
          <w:p>
            <w:pPr>
              <w:pStyle w:val="43"/>
              <w:rPr>
                <w:color w:val="auto"/>
              </w:rPr>
            </w:pPr>
          </w:p>
        </w:tc>
        <w:tc>
          <w:tcPr>
            <w:tcW w:w="894" w:type="pct"/>
            <w:shd w:val="clear" w:color="auto" w:fill="auto"/>
            <w:vAlign w:val="center"/>
          </w:tcPr>
          <w:p>
            <w:pPr>
              <w:pStyle w:val="43"/>
              <w:rPr>
                <w:color w:val="auto"/>
              </w:rPr>
            </w:pPr>
            <w:r>
              <w:rPr>
                <w:color w:val="auto"/>
              </w:rPr>
              <w:t>第三次</w:t>
            </w:r>
          </w:p>
        </w:tc>
        <w:tc>
          <w:tcPr>
            <w:tcW w:w="975" w:type="pct"/>
            <w:shd w:val="clear" w:color="auto" w:fill="auto"/>
            <w:vAlign w:val="center"/>
          </w:tcPr>
          <w:p>
            <w:pPr>
              <w:pStyle w:val="43"/>
              <w:rPr>
                <w:color w:val="auto"/>
              </w:rPr>
            </w:pPr>
            <w:r>
              <w:rPr>
                <w:rFonts w:hint="eastAsia"/>
                <w:color w:val="auto"/>
              </w:rPr>
              <w:t>0</w:t>
            </w:r>
            <w:r>
              <w:rPr>
                <w:color w:val="auto"/>
              </w:rPr>
              <w:t>.65</w:t>
            </w:r>
          </w:p>
        </w:tc>
        <w:tc>
          <w:tcPr>
            <w:tcW w:w="976" w:type="pct"/>
            <w:shd w:val="clear" w:color="auto" w:fill="auto"/>
            <w:vAlign w:val="center"/>
          </w:tcPr>
          <w:p>
            <w:pPr>
              <w:pStyle w:val="43"/>
              <w:rPr>
                <w:color w:val="auto"/>
              </w:rPr>
            </w:pPr>
            <w:r>
              <w:rPr>
                <w:color w:val="auto"/>
              </w:rPr>
              <w:t>1.74×10</w:t>
            </w:r>
            <w:r>
              <w:rPr>
                <w:color w:val="auto"/>
                <w:vertAlign w:val="superscript"/>
              </w:rPr>
              <w:t>-2</w:t>
            </w:r>
          </w:p>
        </w:tc>
        <w:tc>
          <w:tcPr>
            <w:tcW w:w="955" w:type="pct"/>
            <w:vAlign w:val="center"/>
          </w:tcPr>
          <w:p>
            <w:pPr>
              <w:pStyle w:val="43"/>
              <w:rPr>
                <w:color w:val="auto"/>
              </w:rPr>
            </w:pPr>
            <w:r>
              <w:rPr>
                <w:rFonts w:hint="eastAsia"/>
                <w:color w:val="auto"/>
              </w:rPr>
              <w:t>2</w:t>
            </w:r>
            <w:r>
              <w:rPr>
                <w:color w:val="auto"/>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0" w:type="pct"/>
            <w:vMerge w:val="continue"/>
            <w:shd w:val="clear" w:color="auto" w:fill="auto"/>
            <w:vAlign w:val="center"/>
          </w:tcPr>
          <w:p>
            <w:pPr>
              <w:pStyle w:val="43"/>
              <w:rPr>
                <w:color w:val="auto"/>
              </w:rPr>
            </w:pPr>
          </w:p>
        </w:tc>
        <w:tc>
          <w:tcPr>
            <w:tcW w:w="650" w:type="pct"/>
            <w:vMerge w:val="continue"/>
            <w:shd w:val="clear" w:color="auto" w:fill="auto"/>
            <w:vAlign w:val="center"/>
          </w:tcPr>
          <w:p>
            <w:pPr>
              <w:pStyle w:val="43"/>
              <w:rPr>
                <w:color w:val="auto"/>
              </w:rPr>
            </w:pPr>
          </w:p>
        </w:tc>
        <w:tc>
          <w:tcPr>
            <w:tcW w:w="894" w:type="pct"/>
            <w:shd w:val="clear" w:color="auto" w:fill="auto"/>
            <w:vAlign w:val="center"/>
          </w:tcPr>
          <w:p>
            <w:pPr>
              <w:pStyle w:val="43"/>
              <w:rPr>
                <w:color w:val="auto"/>
              </w:rPr>
            </w:pPr>
            <w:r>
              <w:rPr>
                <w:color w:val="auto"/>
              </w:rPr>
              <w:t>平均值</w:t>
            </w:r>
          </w:p>
        </w:tc>
        <w:tc>
          <w:tcPr>
            <w:tcW w:w="975" w:type="pct"/>
            <w:shd w:val="clear" w:color="auto" w:fill="auto"/>
            <w:vAlign w:val="center"/>
          </w:tcPr>
          <w:p>
            <w:pPr>
              <w:pStyle w:val="43"/>
              <w:rPr>
                <w:color w:val="auto"/>
              </w:rPr>
            </w:pPr>
            <w:r>
              <w:rPr>
                <w:rFonts w:hint="eastAsia"/>
                <w:color w:val="auto"/>
              </w:rPr>
              <w:t>0</w:t>
            </w:r>
            <w:r>
              <w:rPr>
                <w:color w:val="auto"/>
              </w:rPr>
              <w:t>.65</w:t>
            </w:r>
          </w:p>
        </w:tc>
        <w:tc>
          <w:tcPr>
            <w:tcW w:w="976" w:type="pct"/>
            <w:shd w:val="clear" w:color="auto" w:fill="auto"/>
            <w:vAlign w:val="center"/>
          </w:tcPr>
          <w:p>
            <w:pPr>
              <w:pStyle w:val="43"/>
              <w:rPr>
                <w:color w:val="auto"/>
              </w:rPr>
            </w:pPr>
            <w:r>
              <w:rPr>
                <w:color w:val="auto"/>
              </w:rPr>
              <w:t>1.74×10</w:t>
            </w:r>
            <w:r>
              <w:rPr>
                <w:color w:val="auto"/>
                <w:vertAlign w:val="superscript"/>
              </w:rPr>
              <w:t>-2</w:t>
            </w:r>
          </w:p>
        </w:tc>
        <w:tc>
          <w:tcPr>
            <w:tcW w:w="955" w:type="pct"/>
            <w:vAlign w:val="center"/>
          </w:tcPr>
          <w:p>
            <w:pPr>
              <w:pStyle w:val="43"/>
              <w:rPr>
                <w:color w:val="auto"/>
              </w:rPr>
            </w:pPr>
            <w:r>
              <w:rPr>
                <w:rFonts w:hint="eastAsia"/>
                <w:color w:val="auto"/>
              </w:rPr>
              <w:t>2</w:t>
            </w:r>
            <w:r>
              <w:rPr>
                <w:color w:val="auto"/>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4" w:type="pct"/>
            <w:gridSpan w:val="3"/>
            <w:shd w:val="clear" w:color="auto" w:fill="auto"/>
            <w:vAlign w:val="center"/>
          </w:tcPr>
          <w:p>
            <w:pPr>
              <w:pStyle w:val="43"/>
              <w:rPr>
                <w:color w:val="auto"/>
              </w:rPr>
            </w:pPr>
            <w:r>
              <w:rPr>
                <w:color w:val="auto"/>
              </w:rPr>
              <w:t>标准限值</w:t>
            </w:r>
          </w:p>
        </w:tc>
        <w:tc>
          <w:tcPr>
            <w:tcW w:w="975" w:type="pct"/>
            <w:shd w:val="clear" w:color="auto" w:fill="auto"/>
            <w:vAlign w:val="center"/>
          </w:tcPr>
          <w:p>
            <w:pPr>
              <w:pStyle w:val="43"/>
              <w:rPr>
                <w:color w:val="auto"/>
              </w:rPr>
            </w:pPr>
            <w:r>
              <w:rPr>
                <w:color w:val="auto"/>
              </w:rPr>
              <w:t>40</w:t>
            </w:r>
          </w:p>
        </w:tc>
        <w:tc>
          <w:tcPr>
            <w:tcW w:w="976" w:type="pct"/>
            <w:shd w:val="clear" w:color="auto" w:fill="auto"/>
            <w:vAlign w:val="center"/>
          </w:tcPr>
          <w:p>
            <w:pPr>
              <w:pStyle w:val="43"/>
              <w:rPr>
                <w:color w:val="auto"/>
              </w:rPr>
            </w:pPr>
            <w:r>
              <w:rPr>
                <w:rFonts w:hint="eastAsia"/>
                <w:color w:val="auto"/>
              </w:rPr>
              <w:t>/</w:t>
            </w:r>
          </w:p>
        </w:tc>
        <w:tc>
          <w:tcPr>
            <w:tcW w:w="955" w:type="pct"/>
            <w:shd w:val="clear" w:color="auto" w:fill="auto"/>
            <w:vAlign w:val="center"/>
          </w:tcPr>
          <w:p>
            <w:pPr>
              <w:pStyle w:val="43"/>
              <w:rPr>
                <w:color w:val="auto"/>
              </w:rPr>
            </w:pPr>
            <w:r>
              <w:rPr>
                <w:rFonts w:hint="eastAsia"/>
                <w:color w:val="auto"/>
              </w:rPr>
              <w:t>3</w:t>
            </w: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94" w:type="pct"/>
            <w:gridSpan w:val="3"/>
            <w:shd w:val="clear" w:color="auto" w:fill="auto"/>
            <w:vAlign w:val="center"/>
          </w:tcPr>
          <w:p>
            <w:pPr>
              <w:pStyle w:val="43"/>
              <w:rPr>
                <w:color w:val="auto"/>
              </w:rPr>
            </w:pPr>
            <w:r>
              <w:rPr>
                <w:color w:val="auto"/>
              </w:rPr>
              <w:t>达标情况</w:t>
            </w:r>
          </w:p>
        </w:tc>
        <w:tc>
          <w:tcPr>
            <w:tcW w:w="975" w:type="pct"/>
            <w:shd w:val="clear" w:color="auto" w:fill="auto"/>
            <w:vAlign w:val="center"/>
          </w:tcPr>
          <w:p>
            <w:pPr>
              <w:pStyle w:val="43"/>
              <w:rPr>
                <w:color w:val="auto"/>
              </w:rPr>
            </w:pPr>
            <w:r>
              <w:rPr>
                <w:rFonts w:hint="eastAsia"/>
                <w:color w:val="auto"/>
              </w:rPr>
              <w:t>达标</w:t>
            </w:r>
          </w:p>
        </w:tc>
        <w:tc>
          <w:tcPr>
            <w:tcW w:w="976" w:type="pct"/>
            <w:shd w:val="clear" w:color="auto" w:fill="auto"/>
            <w:vAlign w:val="center"/>
          </w:tcPr>
          <w:p>
            <w:pPr>
              <w:pStyle w:val="43"/>
              <w:rPr>
                <w:color w:val="auto"/>
              </w:rPr>
            </w:pPr>
            <w:r>
              <w:rPr>
                <w:rFonts w:hint="eastAsia"/>
                <w:color w:val="auto"/>
              </w:rPr>
              <w:t>/</w:t>
            </w:r>
          </w:p>
        </w:tc>
        <w:tc>
          <w:tcPr>
            <w:tcW w:w="955" w:type="pct"/>
            <w:shd w:val="clear" w:color="auto" w:fill="auto"/>
            <w:vAlign w:val="center"/>
          </w:tcPr>
          <w:p>
            <w:pPr>
              <w:pStyle w:val="43"/>
              <w:rPr>
                <w:color w:val="auto"/>
              </w:rPr>
            </w:pPr>
            <w:r>
              <w:rPr>
                <w:rFonts w:hint="eastAsia"/>
                <w:color w:val="auto"/>
              </w:rPr>
              <w:t>达标</w:t>
            </w:r>
          </w:p>
        </w:tc>
      </w:tr>
    </w:tbl>
    <w:p>
      <w:pPr>
        <w:pStyle w:val="38"/>
        <w:rPr>
          <w:color w:val="auto"/>
        </w:rPr>
        <w:sectPr>
          <w:pgSz w:w="11906" w:h="16838"/>
          <w:pgMar w:top="1418" w:right="1701" w:bottom="1418" w:left="1701" w:header="851" w:footer="992" w:gutter="0"/>
          <w:pgNumType w:fmt="numberInDash"/>
          <w:cols w:space="425" w:num="1"/>
          <w:docGrid w:type="lines" w:linePitch="312" w:charSpace="0"/>
        </w:sectPr>
      </w:pPr>
    </w:p>
    <w:p>
      <w:pPr>
        <w:pStyle w:val="39"/>
        <w:spacing w:before="65" w:after="32"/>
        <w:rPr>
          <w:color w:val="auto"/>
        </w:rPr>
      </w:pPr>
      <w:r>
        <w:rPr>
          <w:color w:val="auto"/>
        </w:rPr>
        <w:t>表9-5  涂层</w:t>
      </w:r>
      <w:r>
        <w:rPr>
          <w:rFonts w:hint="eastAsia"/>
          <w:color w:val="auto"/>
        </w:rPr>
        <w:t>废气处理设施出口</w:t>
      </w:r>
      <w:r>
        <w:rPr>
          <w:color w:val="auto"/>
        </w:rPr>
        <w:t>监测结果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707"/>
        <w:gridCol w:w="1034"/>
        <w:gridCol w:w="1277"/>
        <w:gridCol w:w="1280"/>
        <w:gridCol w:w="1280"/>
        <w:gridCol w:w="1280"/>
        <w:gridCol w:w="1277"/>
        <w:gridCol w:w="1280"/>
        <w:gridCol w:w="1280"/>
        <w:gridCol w:w="1280"/>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restart"/>
            <w:shd w:val="clear" w:color="auto" w:fill="auto"/>
            <w:vAlign w:val="center"/>
          </w:tcPr>
          <w:p>
            <w:pPr>
              <w:pStyle w:val="43"/>
              <w:rPr>
                <w:b/>
                <w:bCs/>
                <w:color w:val="auto"/>
              </w:rPr>
            </w:pPr>
            <w:r>
              <w:rPr>
                <w:b/>
                <w:bCs/>
                <w:color w:val="auto"/>
              </w:rPr>
              <w:t>采样</w:t>
            </w:r>
          </w:p>
          <w:p>
            <w:pPr>
              <w:pStyle w:val="43"/>
              <w:rPr>
                <w:b/>
                <w:bCs/>
                <w:color w:val="auto"/>
              </w:rPr>
            </w:pPr>
            <w:r>
              <w:rPr>
                <w:b/>
                <w:bCs/>
                <w:color w:val="auto"/>
              </w:rPr>
              <w:t>位置</w:t>
            </w:r>
          </w:p>
        </w:tc>
        <w:tc>
          <w:tcPr>
            <w:tcW w:w="612" w:type="pct"/>
            <w:gridSpan w:val="2"/>
            <w:vMerge w:val="restart"/>
            <w:shd w:val="clear" w:color="auto" w:fill="auto"/>
            <w:vAlign w:val="center"/>
          </w:tcPr>
          <w:p>
            <w:pPr>
              <w:pStyle w:val="43"/>
              <w:rPr>
                <w:b/>
                <w:bCs/>
                <w:color w:val="auto"/>
              </w:rPr>
            </w:pPr>
            <w:r>
              <w:rPr>
                <w:b/>
                <w:bCs/>
                <w:color w:val="auto"/>
              </w:rPr>
              <w:t>监测时间</w:t>
            </w:r>
          </w:p>
        </w:tc>
        <w:tc>
          <w:tcPr>
            <w:tcW w:w="4035" w:type="pct"/>
            <w:gridSpan w:val="9"/>
            <w:shd w:val="clear" w:color="auto" w:fill="auto"/>
            <w:vAlign w:val="center"/>
          </w:tcPr>
          <w:p>
            <w:pPr>
              <w:pStyle w:val="43"/>
              <w:rPr>
                <w:b/>
                <w:bCs/>
                <w:color w:val="auto"/>
              </w:rPr>
            </w:pPr>
            <w:r>
              <w:rPr>
                <w:b/>
                <w:bCs/>
                <w:color w:val="auto"/>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b/>
                <w:bCs/>
                <w:color w:val="auto"/>
              </w:rPr>
            </w:pPr>
          </w:p>
        </w:tc>
        <w:tc>
          <w:tcPr>
            <w:tcW w:w="612" w:type="pct"/>
            <w:gridSpan w:val="2"/>
            <w:vMerge w:val="continue"/>
            <w:shd w:val="clear" w:color="auto" w:fill="auto"/>
            <w:vAlign w:val="center"/>
          </w:tcPr>
          <w:p>
            <w:pPr>
              <w:pStyle w:val="43"/>
              <w:rPr>
                <w:b/>
                <w:bCs/>
                <w:color w:val="auto"/>
              </w:rPr>
            </w:pPr>
          </w:p>
        </w:tc>
        <w:tc>
          <w:tcPr>
            <w:tcW w:w="899" w:type="pct"/>
            <w:gridSpan w:val="2"/>
            <w:shd w:val="clear" w:color="auto" w:fill="auto"/>
            <w:vAlign w:val="center"/>
          </w:tcPr>
          <w:p>
            <w:pPr>
              <w:pStyle w:val="43"/>
              <w:rPr>
                <w:b/>
                <w:bCs/>
                <w:color w:val="auto"/>
              </w:rPr>
            </w:pPr>
            <w:r>
              <w:rPr>
                <w:rFonts w:hint="eastAsia"/>
                <w:b/>
                <w:bCs/>
                <w:color w:val="auto"/>
              </w:rPr>
              <w:t>非甲烷总烃</w:t>
            </w:r>
          </w:p>
        </w:tc>
        <w:tc>
          <w:tcPr>
            <w:tcW w:w="900" w:type="pct"/>
            <w:gridSpan w:val="2"/>
            <w:shd w:val="clear" w:color="auto" w:fill="auto"/>
            <w:vAlign w:val="center"/>
          </w:tcPr>
          <w:p>
            <w:pPr>
              <w:pStyle w:val="43"/>
              <w:rPr>
                <w:b/>
                <w:bCs/>
                <w:color w:val="auto"/>
              </w:rPr>
            </w:pPr>
            <w:r>
              <w:rPr>
                <w:rFonts w:hint="eastAsia"/>
                <w:b/>
                <w:bCs/>
                <w:color w:val="auto"/>
              </w:rPr>
              <w:t>颗粒物</w:t>
            </w:r>
          </w:p>
        </w:tc>
        <w:tc>
          <w:tcPr>
            <w:tcW w:w="899" w:type="pct"/>
            <w:gridSpan w:val="2"/>
            <w:shd w:val="clear" w:color="auto" w:fill="auto"/>
            <w:vAlign w:val="center"/>
          </w:tcPr>
          <w:p>
            <w:pPr>
              <w:pStyle w:val="43"/>
              <w:rPr>
                <w:b/>
                <w:bCs/>
                <w:color w:val="auto"/>
              </w:rPr>
            </w:pPr>
            <w:r>
              <w:rPr>
                <w:b/>
                <w:bCs/>
                <w:color w:val="auto"/>
              </w:rPr>
              <w:t>SO</w:t>
            </w:r>
            <w:r>
              <w:rPr>
                <w:b/>
                <w:bCs/>
                <w:color w:val="auto"/>
                <w:vertAlign w:val="subscript"/>
              </w:rPr>
              <w:t>2</w:t>
            </w:r>
          </w:p>
        </w:tc>
        <w:tc>
          <w:tcPr>
            <w:tcW w:w="900" w:type="pct"/>
            <w:gridSpan w:val="2"/>
          </w:tcPr>
          <w:p>
            <w:pPr>
              <w:pStyle w:val="43"/>
              <w:rPr>
                <w:b/>
                <w:bCs/>
                <w:color w:val="auto"/>
              </w:rPr>
            </w:pPr>
            <w:r>
              <w:rPr>
                <w:b/>
                <w:bCs/>
                <w:color w:val="auto"/>
              </w:rPr>
              <w:t>NOx</w:t>
            </w:r>
          </w:p>
        </w:tc>
        <w:tc>
          <w:tcPr>
            <w:tcW w:w="436" w:type="pct"/>
          </w:tcPr>
          <w:p>
            <w:pPr>
              <w:pStyle w:val="43"/>
              <w:rPr>
                <w:b/>
                <w:bCs/>
                <w:color w:val="auto"/>
              </w:rPr>
            </w:pPr>
            <w:r>
              <w:rPr>
                <w:rFonts w:hint="eastAsia"/>
                <w:b/>
                <w:bCs/>
                <w:color w:val="auto"/>
              </w:rPr>
              <w:t>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b/>
                <w:bCs/>
                <w:color w:val="auto"/>
              </w:rPr>
            </w:pPr>
          </w:p>
        </w:tc>
        <w:tc>
          <w:tcPr>
            <w:tcW w:w="612" w:type="pct"/>
            <w:gridSpan w:val="2"/>
            <w:vMerge w:val="continue"/>
            <w:shd w:val="clear" w:color="auto" w:fill="auto"/>
            <w:vAlign w:val="center"/>
          </w:tcPr>
          <w:p>
            <w:pPr>
              <w:pStyle w:val="43"/>
              <w:rPr>
                <w:b/>
                <w:bCs/>
                <w:color w:val="auto"/>
              </w:rPr>
            </w:pPr>
          </w:p>
        </w:tc>
        <w:tc>
          <w:tcPr>
            <w:tcW w:w="449" w:type="pct"/>
            <w:shd w:val="clear" w:color="auto" w:fill="auto"/>
            <w:vAlign w:val="center"/>
          </w:tcPr>
          <w:p>
            <w:pPr>
              <w:pStyle w:val="43"/>
              <w:rPr>
                <w:b/>
                <w:bCs/>
                <w:color w:val="auto"/>
              </w:rPr>
            </w:pPr>
            <w:r>
              <w:rPr>
                <w:b/>
                <w:bCs/>
                <w:color w:val="auto"/>
              </w:rPr>
              <w:t>排放浓度</w:t>
            </w:r>
          </w:p>
          <w:p>
            <w:pPr>
              <w:pStyle w:val="43"/>
              <w:rPr>
                <w:b/>
                <w:bCs/>
                <w:color w:val="auto"/>
              </w:rPr>
            </w:pPr>
            <w:r>
              <w:rPr>
                <w:b/>
                <w:bCs/>
                <w:color w:val="auto"/>
              </w:rPr>
              <w:t>(mg/m³)</w:t>
            </w:r>
          </w:p>
        </w:tc>
        <w:tc>
          <w:tcPr>
            <w:tcW w:w="450" w:type="pct"/>
            <w:shd w:val="clear" w:color="auto" w:fill="auto"/>
            <w:vAlign w:val="center"/>
          </w:tcPr>
          <w:p>
            <w:pPr>
              <w:pStyle w:val="43"/>
              <w:rPr>
                <w:b/>
                <w:bCs/>
                <w:color w:val="auto"/>
              </w:rPr>
            </w:pPr>
            <w:r>
              <w:rPr>
                <w:b/>
                <w:bCs/>
                <w:color w:val="auto"/>
              </w:rPr>
              <w:t>排放速率</w:t>
            </w:r>
          </w:p>
          <w:p>
            <w:pPr>
              <w:pStyle w:val="43"/>
              <w:rPr>
                <w:b/>
                <w:bCs/>
                <w:color w:val="auto"/>
              </w:rPr>
            </w:pPr>
            <w:r>
              <w:rPr>
                <w:b/>
                <w:bCs/>
                <w:color w:val="auto"/>
              </w:rPr>
              <w:t>(kg/h)</w:t>
            </w:r>
          </w:p>
        </w:tc>
        <w:tc>
          <w:tcPr>
            <w:tcW w:w="450" w:type="pct"/>
            <w:shd w:val="clear" w:color="auto" w:fill="auto"/>
            <w:vAlign w:val="center"/>
          </w:tcPr>
          <w:p>
            <w:pPr>
              <w:pStyle w:val="43"/>
              <w:rPr>
                <w:b/>
                <w:bCs/>
                <w:color w:val="auto"/>
              </w:rPr>
            </w:pPr>
            <w:r>
              <w:rPr>
                <w:b/>
                <w:bCs/>
                <w:color w:val="auto"/>
              </w:rPr>
              <w:t>排放浓度</w:t>
            </w:r>
          </w:p>
          <w:p>
            <w:pPr>
              <w:pStyle w:val="43"/>
              <w:rPr>
                <w:b/>
                <w:bCs/>
                <w:color w:val="auto"/>
              </w:rPr>
            </w:pPr>
            <w:r>
              <w:rPr>
                <w:b/>
                <w:bCs/>
                <w:color w:val="auto"/>
              </w:rPr>
              <w:t>(mg/m³)</w:t>
            </w:r>
          </w:p>
        </w:tc>
        <w:tc>
          <w:tcPr>
            <w:tcW w:w="450" w:type="pct"/>
            <w:shd w:val="clear" w:color="auto" w:fill="auto"/>
            <w:vAlign w:val="center"/>
          </w:tcPr>
          <w:p>
            <w:pPr>
              <w:pStyle w:val="43"/>
              <w:rPr>
                <w:b/>
                <w:bCs/>
                <w:color w:val="auto"/>
              </w:rPr>
            </w:pPr>
            <w:r>
              <w:rPr>
                <w:b/>
                <w:bCs/>
                <w:color w:val="auto"/>
              </w:rPr>
              <w:t>排放速率</w:t>
            </w:r>
          </w:p>
          <w:p>
            <w:pPr>
              <w:pStyle w:val="43"/>
              <w:rPr>
                <w:b/>
                <w:bCs/>
                <w:color w:val="auto"/>
              </w:rPr>
            </w:pPr>
            <w:r>
              <w:rPr>
                <w:b/>
                <w:bCs/>
                <w:color w:val="auto"/>
              </w:rPr>
              <w:t>(kg/h)</w:t>
            </w:r>
          </w:p>
        </w:tc>
        <w:tc>
          <w:tcPr>
            <w:tcW w:w="449" w:type="pct"/>
            <w:shd w:val="clear" w:color="auto" w:fill="auto"/>
            <w:vAlign w:val="center"/>
          </w:tcPr>
          <w:p>
            <w:pPr>
              <w:pStyle w:val="43"/>
              <w:rPr>
                <w:b/>
                <w:bCs/>
                <w:color w:val="auto"/>
              </w:rPr>
            </w:pPr>
            <w:r>
              <w:rPr>
                <w:b/>
                <w:bCs/>
                <w:color w:val="auto"/>
              </w:rPr>
              <w:t>排放浓度</w:t>
            </w:r>
          </w:p>
          <w:p>
            <w:pPr>
              <w:pStyle w:val="43"/>
              <w:rPr>
                <w:b/>
                <w:bCs/>
                <w:color w:val="auto"/>
              </w:rPr>
            </w:pPr>
            <w:r>
              <w:rPr>
                <w:b/>
                <w:bCs/>
                <w:color w:val="auto"/>
              </w:rPr>
              <w:t>(mg/m³)</w:t>
            </w:r>
          </w:p>
        </w:tc>
        <w:tc>
          <w:tcPr>
            <w:tcW w:w="450" w:type="pct"/>
            <w:shd w:val="clear" w:color="auto" w:fill="auto"/>
            <w:vAlign w:val="center"/>
          </w:tcPr>
          <w:p>
            <w:pPr>
              <w:pStyle w:val="43"/>
              <w:rPr>
                <w:b/>
                <w:bCs/>
                <w:color w:val="auto"/>
              </w:rPr>
            </w:pPr>
            <w:r>
              <w:rPr>
                <w:b/>
                <w:bCs/>
                <w:color w:val="auto"/>
              </w:rPr>
              <w:t>排放速率</w:t>
            </w:r>
          </w:p>
          <w:p>
            <w:pPr>
              <w:pStyle w:val="43"/>
              <w:rPr>
                <w:b/>
                <w:bCs/>
                <w:color w:val="auto"/>
              </w:rPr>
            </w:pPr>
            <w:r>
              <w:rPr>
                <w:b/>
                <w:bCs/>
                <w:color w:val="auto"/>
              </w:rPr>
              <w:t>(kg/h)</w:t>
            </w:r>
          </w:p>
        </w:tc>
        <w:tc>
          <w:tcPr>
            <w:tcW w:w="450" w:type="pct"/>
            <w:vAlign w:val="center"/>
          </w:tcPr>
          <w:p>
            <w:pPr>
              <w:pStyle w:val="43"/>
              <w:rPr>
                <w:b/>
                <w:bCs/>
                <w:color w:val="auto"/>
              </w:rPr>
            </w:pPr>
            <w:r>
              <w:rPr>
                <w:b/>
                <w:bCs/>
                <w:color w:val="auto"/>
              </w:rPr>
              <w:t>排放浓度</w:t>
            </w:r>
          </w:p>
          <w:p>
            <w:pPr>
              <w:pStyle w:val="43"/>
              <w:rPr>
                <w:b/>
                <w:bCs/>
                <w:color w:val="auto"/>
              </w:rPr>
            </w:pPr>
            <w:r>
              <w:rPr>
                <w:b/>
                <w:bCs/>
                <w:color w:val="auto"/>
              </w:rPr>
              <w:t>(mg/m³)</w:t>
            </w:r>
          </w:p>
        </w:tc>
        <w:tc>
          <w:tcPr>
            <w:tcW w:w="450" w:type="pct"/>
            <w:vAlign w:val="center"/>
          </w:tcPr>
          <w:p>
            <w:pPr>
              <w:pStyle w:val="43"/>
              <w:rPr>
                <w:b/>
                <w:bCs/>
                <w:color w:val="auto"/>
              </w:rPr>
            </w:pPr>
            <w:r>
              <w:rPr>
                <w:b/>
                <w:bCs/>
                <w:color w:val="auto"/>
              </w:rPr>
              <w:t>排放速率</w:t>
            </w:r>
          </w:p>
          <w:p>
            <w:pPr>
              <w:pStyle w:val="43"/>
              <w:rPr>
                <w:b/>
                <w:bCs/>
                <w:color w:val="auto"/>
              </w:rPr>
            </w:pPr>
            <w:r>
              <w:rPr>
                <w:b/>
                <w:bCs/>
                <w:color w:val="auto"/>
              </w:rPr>
              <w:t>(kg/h)</w:t>
            </w:r>
          </w:p>
        </w:tc>
        <w:tc>
          <w:tcPr>
            <w:tcW w:w="436" w:type="pct"/>
          </w:tcPr>
          <w:p>
            <w:pPr>
              <w:pStyle w:val="43"/>
              <w:rPr>
                <w:b/>
                <w:bCs/>
                <w:color w:val="auto"/>
              </w:rPr>
            </w:pPr>
            <w:r>
              <w:rPr>
                <w:rFonts w:hint="eastAsia"/>
                <w:b/>
                <w:bCs/>
                <w:color w:val="auto"/>
              </w:rPr>
              <w:t>排放值</w:t>
            </w:r>
          </w:p>
          <w:p>
            <w:pPr>
              <w:pStyle w:val="43"/>
              <w:rPr>
                <w:b/>
                <w:bCs/>
                <w:color w:val="auto"/>
              </w:rPr>
            </w:pPr>
            <w:r>
              <w:rPr>
                <w:rFonts w:hint="eastAsia"/>
                <w:b/>
                <w:bCs/>
                <w:color w:val="auto"/>
              </w:rPr>
              <w:t>(无量纲</w:t>
            </w:r>
            <w:r>
              <w:rPr>
                <w:b/>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restart"/>
            <w:shd w:val="clear" w:color="auto" w:fill="auto"/>
            <w:vAlign w:val="center"/>
          </w:tcPr>
          <w:p>
            <w:pPr>
              <w:pStyle w:val="43"/>
              <w:rPr>
                <w:color w:val="auto"/>
              </w:rPr>
            </w:pPr>
            <w:r>
              <w:rPr>
                <w:rFonts w:hint="eastAsia"/>
                <w:color w:val="auto"/>
              </w:rPr>
              <w:t>涂层工序废气处理设施出口</w:t>
            </w:r>
          </w:p>
        </w:tc>
        <w:tc>
          <w:tcPr>
            <w:tcW w:w="249" w:type="pct"/>
            <w:vMerge w:val="restart"/>
            <w:shd w:val="clear" w:color="auto" w:fill="auto"/>
            <w:vAlign w:val="center"/>
          </w:tcPr>
          <w:p>
            <w:pPr>
              <w:pStyle w:val="43"/>
              <w:rPr>
                <w:color w:val="auto"/>
              </w:rPr>
            </w:pPr>
            <w:r>
              <w:rPr>
                <w:color w:val="auto"/>
              </w:rPr>
              <w:t>2022.9.2</w:t>
            </w:r>
          </w:p>
        </w:tc>
        <w:tc>
          <w:tcPr>
            <w:tcW w:w="364" w:type="pct"/>
            <w:shd w:val="clear" w:color="auto" w:fill="auto"/>
            <w:vAlign w:val="center"/>
          </w:tcPr>
          <w:p>
            <w:pPr>
              <w:pStyle w:val="43"/>
              <w:rPr>
                <w:color w:val="auto"/>
              </w:rPr>
            </w:pPr>
            <w:r>
              <w:rPr>
                <w:color w:val="auto"/>
              </w:rPr>
              <w:t>第一次</w:t>
            </w:r>
          </w:p>
        </w:tc>
        <w:tc>
          <w:tcPr>
            <w:tcW w:w="449" w:type="pct"/>
            <w:shd w:val="clear" w:color="auto" w:fill="auto"/>
            <w:vAlign w:val="center"/>
          </w:tcPr>
          <w:p>
            <w:pPr>
              <w:pStyle w:val="43"/>
              <w:rPr>
                <w:color w:val="auto"/>
              </w:rPr>
            </w:pPr>
            <w:r>
              <w:rPr>
                <w:rFonts w:hint="eastAsia"/>
                <w:color w:val="auto"/>
              </w:rPr>
              <w:t>2</w:t>
            </w:r>
            <w:r>
              <w:rPr>
                <w:color w:val="auto"/>
              </w:rPr>
              <w:t>.74</w:t>
            </w:r>
          </w:p>
        </w:tc>
        <w:tc>
          <w:tcPr>
            <w:tcW w:w="450" w:type="pct"/>
            <w:shd w:val="clear" w:color="auto" w:fill="auto"/>
            <w:vAlign w:val="center"/>
          </w:tcPr>
          <w:p>
            <w:pPr>
              <w:pStyle w:val="43"/>
              <w:rPr>
                <w:color w:val="auto"/>
              </w:rPr>
            </w:pPr>
            <w:r>
              <w:rPr>
                <w:color w:val="auto"/>
              </w:rPr>
              <w:t>6.78×10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1.24×10</w:t>
            </w:r>
            <w:r>
              <w:rPr>
                <w:color w:val="auto"/>
                <w:vertAlign w:val="superscript"/>
              </w:rPr>
              <w:t>-2</w:t>
            </w:r>
          </w:p>
        </w:tc>
        <w:tc>
          <w:tcPr>
            <w:tcW w:w="449" w:type="pct"/>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36" w:type="pct"/>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continue"/>
            <w:shd w:val="clear" w:color="auto" w:fill="auto"/>
            <w:vAlign w:val="center"/>
          </w:tcPr>
          <w:p>
            <w:pPr>
              <w:pStyle w:val="43"/>
              <w:rPr>
                <w:color w:val="auto"/>
              </w:rPr>
            </w:pPr>
          </w:p>
        </w:tc>
        <w:tc>
          <w:tcPr>
            <w:tcW w:w="364" w:type="pct"/>
            <w:shd w:val="clear" w:color="auto" w:fill="auto"/>
            <w:vAlign w:val="center"/>
          </w:tcPr>
          <w:p>
            <w:pPr>
              <w:pStyle w:val="43"/>
              <w:rPr>
                <w:color w:val="auto"/>
              </w:rPr>
            </w:pPr>
            <w:r>
              <w:rPr>
                <w:color w:val="auto"/>
              </w:rPr>
              <w:t>第二次</w:t>
            </w:r>
          </w:p>
        </w:tc>
        <w:tc>
          <w:tcPr>
            <w:tcW w:w="449" w:type="pct"/>
            <w:shd w:val="clear" w:color="auto" w:fill="auto"/>
            <w:vAlign w:val="center"/>
          </w:tcPr>
          <w:p>
            <w:pPr>
              <w:pStyle w:val="43"/>
              <w:rPr>
                <w:color w:val="auto"/>
              </w:rPr>
            </w:pPr>
            <w:r>
              <w:rPr>
                <w:rFonts w:hint="eastAsia"/>
                <w:color w:val="auto"/>
              </w:rPr>
              <w:t>3</w:t>
            </w:r>
            <w:r>
              <w:rPr>
                <w:color w:val="auto"/>
              </w:rPr>
              <w:t>.17</w:t>
            </w:r>
          </w:p>
        </w:tc>
        <w:tc>
          <w:tcPr>
            <w:tcW w:w="450" w:type="pct"/>
            <w:shd w:val="clear" w:color="auto" w:fill="auto"/>
            <w:vAlign w:val="center"/>
          </w:tcPr>
          <w:p>
            <w:pPr>
              <w:pStyle w:val="43"/>
              <w:rPr>
                <w:color w:val="auto"/>
              </w:rPr>
            </w:pPr>
            <w:r>
              <w:rPr>
                <w:color w:val="auto"/>
              </w:rPr>
              <w:t>7.85×10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1.24×10</w:t>
            </w:r>
            <w:r>
              <w:rPr>
                <w:color w:val="auto"/>
                <w:vertAlign w:val="superscript"/>
              </w:rPr>
              <w:t>-2</w:t>
            </w:r>
          </w:p>
        </w:tc>
        <w:tc>
          <w:tcPr>
            <w:tcW w:w="449" w:type="pct"/>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36" w:type="pct"/>
          </w:tcPr>
          <w:p>
            <w:pPr>
              <w:pStyle w:val="43"/>
              <w:rPr>
                <w:color w:val="auto"/>
              </w:rPr>
            </w:pPr>
            <w:r>
              <w:rPr>
                <w:rFonts w:hint="eastAsia"/>
                <w:color w:val="auto"/>
              </w:rPr>
              <w:t>1</w:t>
            </w: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continue"/>
            <w:shd w:val="clear" w:color="auto" w:fill="auto"/>
            <w:vAlign w:val="center"/>
          </w:tcPr>
          <w:p>
            <w:pPr>
              <w:pStyle w:val="43"/>
              <w:rPr>
                <w:color w:val="auto"/>
              </w:rPr>
            </w:pPr>
          </w:p>
        </w:tc>
        <w:tc>
          <w:tcPr>
            <w:tcW w:w="364" w:type="pct"/>
            <w:shd w:val="clear" w:color="auto" w:fill="auto"/>
            <w:vAlign w:val="center"/>
          </w:tcPr>
          <w:p>
            <w:pPr>
              <w:pStyle w:val="43"/>
              <w:rPr>
                <w:color w:val="auto"/>
              </w:rPr>
            </w:pPr>
            <w:r>
              <w:rPr>
                <w:color w:val="auto"/>
              </w:rPr>
              <w:t>第三次</w:t>
            </w:r>
          </w:p>
        </w:tc>
        <w:tc>
          <w:tcPr>
            <w:tcW w:w="449" w:type="pct"/>
            <w:shd w:val="clear" w:color="auto" w:fill="auto"/>
            <w:vAlign w:val="center"/>
          </w:tcPr>
          <w:p>
            <w:pPr>
              <w:pStyle w:val="43"/>
              <w:rPr>
                <w:color w:val="auto"/>
              </w:rPr>
            </w:pPr>
            <w:r>
              <w:rPr>
                <w:rFonts w:hint="eastAsia"/>
                <w:color w:val="auto"/>
              </w:rPr>
              <w:t>2</w:t>
            </w:r>
            <w:r>
              <w:rPr>
                <w:color w:val="auto"/>
              </w:rPr>
              <w:t>.97</w:t>
            </w:r>
          </w:p>
        </w:tc>
        <w:tc>
          <w:tcPr>
            <w:tcW w:w="450" w:type="pct"/>
            <w:shd w:val="clear" w:color="auto" w:fill="auto"/>
            <w:vAlign w:val="center"/>
          </w:tcPr>
          <w:p>
            <w:pPr>
              <w:pStyle w:val="43"/>
              <w:rPr>
                <w:color w:val="auto"/>
              </w:rPr>
            </w:pPr>
            <w:r>
              <w:rPr>
                <w:color w:val="auto"/>
              </w:rPr>
              <w:t>7.35×10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1.24×10</w:t>
            </w:r>
            <w:r>
              <w:rPr>
                <w:color w:val="auto"/>
                <w:vertAlign w:val="superscript"/>
              </w:rPr>
              <w:t>-2</w:t>
            </w:r>
          </w:p>
        </w:tc>
        <w:tc>
          <w:tcPr>
            <w:tcW w:w="449" w:type="pct"/>
            <w:vAlign w:val="center"/>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36" w:type="pct"/>
          </w:tcPr>
          <w:p>
            <w:pPr>
              <w:pStyle w:val="43"/>
              <w:rPr>
                <w:color w:val="auto"/>
              </w:rPr>
            </w:pPr>
            <w:r>
              <w:rPr>
                <w:rFonts w:hint="eastAsia"/>
                <w:color w:val="auto"/>
              </w:rPr>
              <w:t>1</w:t>
            </w: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continue"/>
            <w:shd w:val="clear" w:color="auto" w:fill="auto"/>
            <w:vAlign w:val="center"/>
          </w:tcPr>
          <w:p>
            <w:pPr>
              <w:pStyle w:val="43"/>
              <w:rPr>
                <w:color w:val="auto"/>
              </w:rPr>
            </w:pPr>
          </w:p>
        </w:tc>
        <w:tc>
          <w:tcPr>
            <w:tcW w:w="364" w:type="pct"/>
            <w:shd w:val="clear" w:color="auto" w:fill="auto"/>
            <w:vAlign w:val="center"/>
          </w:tcPr>
          <w:p>
            <w:pPr>
              <w:pStyle w:val="43"/>
              <w:rPr>
                <w:color w:val="auto"/>
              </w:rPr>
            </w:pPr>
            <w:r>
              <w:rPr>
                <w:color w:val="auto"/>
              </w:rPr>
              <w:t>平均值</w:t>
            </w:r>
          </w:p>
        </w:tc>
        <w:tc>
          <w:tcPr>
            <w:tcW w:w="449" w:type="pct"/>
            <w:shd w:val="clear" w:color="auto" w:fill="auto"/>
            <w:vAlign w:val="center"/>
          </w:tcPr>
          <w:p>
            <w:pPr>
              <w:pStyle w:val="43"/>
              <w:rPr>
                <w:color w:val="auto"/>
              </w:rPr>
            </w:pPr>
            <w:r>
              <w:rPr>
                <w:rFonts w:hint="eastAsia"/>
                <w:color w:val="auto"/>
              </w:rPr>
              <w:t>2</w:t>
            </w:r>
            <w:r>
              <w:rPr>
                <w:color w:val="auto"/>
              </w:rPr>
              <w:t>.96</w:t>
            </w:r>
          </w:p>
        </w:tc>
        <w:tc>
          <w:tcPr>
            <w:tcW w:w="450" w:type="pct"/>
            <w:shd w:val="clear" w:color="auto" w:fill="auto"/>
            <w:vAlign w:val="center"/>
          </w:tcPr>
          <w:p>
            <w:pPr>
              <w:pStyle w:val="43"/>
              <w:rPr>
                <w:color w:val="auto"/>
              </w:rPr>
            </w:pPr>
            <w:r>
              <w:rPr>
                <w:color w:val="auto"/>
              </w:rPr>
              <w:t>7.33×10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1.24×10</w:t>
            </w:r>
            <w:r>
              <w:rPr>
                <w:color w:val="auto"/>
                <w:vertAlign w:val="superscript"/>
              </w:rPr>
              <w:t>-2</w:t>
            </w:r>
          </w:p>
        </w:tc>
        <w:tc>
          <w:tcPr>
            <w:tcW w:w="449" w:type="pct"/>
            <w:vAlign w:val="center"/>
          </w:tcPr>
          <w:p>
            <w:pPr>
              <w:pStyle w:val="43"/>
              <w:rPr>
                <w:color w:val="auto"/>
              </w:rPr>
            </w:pPr>
            <w:r>
              <w:rPr>
                <w:color w:val="auto"/>
              </w:rPr>
              <w:t>&lt;3</w:t>
            </w:r>
          </w:p>
        </w:tc>
        <w:tc>
          <w:tcPr>
            <w:tcW w:w="450" w:type="pct"/>
            <w:shd w:val="clear" w:color="auto" w:fill="auto"/>
            <w:vAlign w:val="center"/>
          </w:tcPr>
          <w:p>
            <w:pPr>
              <w:pStyle w:val="43"/>
              <w:rPr>
                <w:color w:val="auto"/>
              </w:rPr>
            </w:pPr>
            <w:r>
              <w:rPr>
                <w:color w:val="auto"/>
              </w:rPr>
              <w:t>3.71×10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3.71×10</w:t>
            </w:r>
            <w:r>
              <w:rPr>
                <w:color w:val="auto"/>
                <w:vertAlign w:val="superscript"/>
              </w:rPr>
              <w:t>-2</w:t>
            </w:r>
          </w:p>
        </w:tc>
        <w:tc>
          <w:tcPr>
            <w:tcW w:w="436" w:type="pct"/>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restart"/>
            <w:shd w:val="clear" w:color="auto" w:fill="auto"/>
            <w:vAlign w:val="center"/>
          </w:tcPr>
          <w:p>
            <w:pPr>
              <w:pStyle w:val="43"/>
              <w:rPr>
                <w:color w:val="auto"/>
              </w:rPr>
            </w:pPr>
            <w:r>
              <w:rPr>
                <w:color w:val="auto"/>
              </w:rPr>
              <w:t>2022.9.3</w:t>
            </w:r>
          </w:p>
        </w:tc>
        <w:tc>
          <w:tcPr>
            <w:tcW w:w="364" w:type="pct"/>
            <w:shd w:val="clear" w:color="auto" w:fill="auto"/>
            <w:vAlign w:val="center"/>
          </w:tcPr>
          <w:p>
            <w:pPr>
              <w:pStyle w:val="43"/>
              <w:rPr>
                <w:color w:val="auto"/>
              </w:rPr>
            </w:pPr>
            <w:r>
              <w:rPr>
                <w:color w:val="auto"/>
              </w:rPr>
              <w:t>第一次</w:t>
            </w:r>
          </w:p>
        </w:tc>
        <w:tc>
          <w:tcPr>
            <w:tcW w:w="449" w:type="pct"/>
            <w:shd w:val="clear" w:color="auto" w:fill="auto"/>
            <w:vAlign w:val="center"/>
          </w:tcPr>
          <w:p>
            <w:pPr>
              <w:pStyle w:val="43"/>
              <w:rPr>
                <w:color w:val="auto"/>
              </w:rPr>
            </w:pPr>
            <w:r>
              <w:rPr>
                <w:rFonts w:hint="eastAsia"/>
                <w:color w:val="auto"/>
              </w:rPr>
              <w:t>3</w:t>
            </w:r>
            <w:r>
              <w:rPr>
                <w:color w:val="auto"/>
              </w:rPr>
              <w:t>.63</w:t>
            </w:r>
          </w:p>
        </w:tc>
        <w:tc>
          <w:tcPr>
            <w:tcW w:w="450" w:type="pct"/>
            <w:shd w:val="clear" w:color="auto" w:fill="auto"/>
            <w:vAlign w:val="center"/>
          </w:tcPr>
          <w:p>
            <w:pPr>
              <w:pStyle w:val="43"/>
              <w:rPr>
                <w:color w:val="auto"/>
              </w:rPr>
            </w:pPr>
            <w:r>
              <w:rPr>
                <w:color w:val="auto"/>
              </w:rPr>
              <w:t>8.70×10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1.20×10</w:t>
            </w:r>
            <w:r>
              <w:rPr>
                <w:color w:val="auto"/>
                <w:vertAlign w:val="superscript"/>
              </w:rPr>
              <w:t>-2</w:t>
            </w:r>
          </w:p>
        </w:tc>
        <w:tc>
          <w:tcPr>
            <w:tcW w:w="449"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36" w:type="pct"/>
          </w:tcPr>
          <w:p>
            <w:pPr>
              <w:pStyle w:val="43"/>
              <w:rPr>
                <w:color w:val="auto"/>
              </w:rPr>
            </w:pPr>
            <w:r>
              <w:rPr>
                <w:rFonts w:hint="eastAsia"/>
                <w:color w:val="auto"/>
              </w:rPr>
              <w:t>1</w:t>
            </w: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continue"/>
            <w:shd w:val="clear" w:color="auto" w:fill="auto"/>
            <w:vAlign w:val="center"/>
          </w:tcPr>
          <w:p>
            <w:pPr>
              <w:pStyle w:val="43"/>
              <w:rPr>
                <w:color w:val="auto"/>
              </w:rPr>
            </w:pPr>
          </w:p>
        </w:tc>
        <w:tc>
          <w:tcPr>
            <w:tcW w:w="364" w:type="pct"/>
            <w:shd w:val="clear" w:color="auto" w:fill="auto"/>
            <w:vAlign w:val="center"/>
          </w:tcPr>
          <w:p>
            <w:pPr>
              <w:pStyle w:val="43"/>
              <w:rPr>
                <w:color w:val="auto"/>
              </w:rPr>
            </w:pPr>
            <w:r>
              <w:rPr>
                <w:color w:val="auto"/>
              </w:rPr>
              <w:t>第二次</w:t>
            </w:r>
          </w:p>
        </w:tc>
        <w:tc>
          <w:tcPr>
            <w:tcW w:w="449" w:type="pct"/>
            <w:shd w:val="clear" w:color="auto" w:fill="auto"/>
            <w:vAlign w:val="center"/>
          </w:tcPr>
          <w:p>
            <w:pPr>
              <w:pStyle w:val="43"/>
              <w:rPr>
                <w:color w:val="auto"/>
              </w:rPr>
            </w:pPr>
            <w:r>
              <w:rPr>
                <w:rFonts w:hint="eastAsia"/>
                <w:color w:val="auto"/>
              </w:rPr>
              <w:t>3</w:t>
            </w:r>
            <w:r>
              <w:rPr>
                <w:color w:val="auto"/>
              </w:rPr>
              <w:t>.50</w:t>
            </w:r>
          </w:p>
        </w:tc>
        <w:tc>
          <w:tcPr>
            <w:tcW w:w="450" w:type="pct"/>
            <w:shd w:val="clear" w:color="auto" w:fill="auto"/>
            <w:vAlign w:val="center"/>
          </w:tcPr>
          <w:p>
            <w:pPr>
              <w:pStyle w:val="43"/>
              <w:rPr>
                <w:color w:val="auto"/>
              </w:rPr>
            </w:pPr>
            <w:r>
              <w:rPr>
                <w:color w:val="auto"/>
              </w:rPr>
              <w:t>8.39×10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1.20×10</w:t>
            </w:r>
            <w:r>
              <w:rPr>
                <w:color w:val="auto"/>
                <w:vertAlign w:val="superscript"/>
              </w:rPr>
              <w:t>-2</w:t>
            </w:r>
          </w:p>
        </w:tc>
        <w:tc>
          <w:tcPr>
            <w:tcW w:w="449"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36" w:type="pct"/>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continue"/>
            <w:shd w:val="clear" w:color="auto" w:fill="auto"/>
            <w:vAlign w:val="center"/>
          </w:tcPr>
          <w:p>
            <w:pPr>
              <w:pStyle w:val="43"/>
              <w:rPr>
                <w:color w:val="auto"/>
              </w:rPr>
            </w:pPr>
          </w:p>
        </w:tc>
        <w:tc>
          <w:tcPr>
            <w:tcW w:w="364" w:type="pct"/>
            <w:shd w:val="clear" w:color="auto" w:fill="auto"/>
            <w:vAlign w:val="center"/>
          </w:tcPr>
          <w:p>
            <w:pPr>
              <w:pStyle w:val="43"/>
              <w:rPr>
                <w:color w:val="auto"/>
              </w:rPr>
            </w:pPr>
            <w:r>
              <w:rPr>
                <w:color w:val="auto"/>
              </w:rPr>
              <w:t>第三次</w:t>
            </w:r>
          </w:p>
        </w:tc>
        <w:tc>
          <w:tcPr>
            <w:tcW w:w="449" w:type="pct"/>
            <w:shd w:val="clear" w:color="auto" w:fill="auto"/>
            <w:vAlign w:val="center"/>
          </w:tcPr>
          <w:p>
            <w:pPr>
              <w:pStyle w:val="43"/>
              <w:rPr>
                <w:color w:val="auto"/>
              </w:rPr>
            </w:pPr>
            <w:r>
              <w:rPr>
                <w:rFonts w:hint="eastAsia"/>
                <w:color w:val="auto"/>
              </w:rPr>
              <w:t>3</w:t>
            </w:r>
            <w:r>
              <w:rPr>
                <w:color w:val="auto"/>
              </w:rPr>
              <w:t>.43</w:t>
            </w:r>
          </w:p>
        </w:tc>
        <w:tc>
          <w:tcPr>
            <w:tcW w:w="450" w:type="pct"/>
            <w:shd w:val="clear" w:color="auto" w:fill="auto"/>
            <w:vAlign w:val="center"/>
          </w:tcPr>
          <w:p>
            <w:pPr>
              <w:pStyle w:val="43"/>
              <w:rPr>
                <w:color w:val="auto"/>
              </w:rPr>
            </w:pPr>
            <w:r>
              <w:rPr>
                <w:color w:val="auto"/>
              </w:rPr>
              <w:t>8.22×10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1.20×10</w:t>
            </w:r>
            <w:r>
              <w:rPr>
                <w:color w:val="auto"/>
                <w:vertAlign w:val="superscript"/>
              </w:rPr>
              <w:t>-2</w:t>
            </w:r>
          </w:p>
        </w:tc>
        <w:tc>
          <w:tcPr>
            <w:tcW w:w="449"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36" w:type="pct"/>
          </w:tcPr>
          <w:p>
            <w:pPr>
              <w:pStyle w:val="43"/>
              <w:rPr>
                <w:color w:val="auto"/>
              </w:rPr>
            </w:pPr>
            <w:r>
              <w:rPr>
                <w:rFonts w:hint="eastAsia"/>
                <w:color w:val="auto"/>
              </w:rPr>
              <w:t>1</w:t>
            </w: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shd w:val="clear" w:color="auto" w:fill="auto"/>
            <w:vAlign w:val="center"/>
          </w:tcPr>
          <w:p>
            <w:pPr>
              <w:pStyle w:val="43"/>
              <w:rPr>
                <w:color w:val="auto"/>
              </w:rPr>
            </w:pPr>
          </w:p>
        </w:tc>
        <w:tc>
          <w:tcPr>
            <w:tcW w:w="249" w:type="pct"/>
            <w:vMerge w:val="continue"/>
            <w:shd w:val="clear" w:color="auto" w:fill="auto"/>
            <w:vAlign w:val="center"/>
          </w:tcPr>
          <w:p>
            <w:pPr>
              <w:pStyle w:val="43"/>
              <w:rPr>
                <w:color w:val="auto"/>
              </w:rPr>
            </w:pPr>
          </w:p>
        </w:tc>
        <w:tc>
          <w:tcPr>
            <w:tcW w:w="364" w:type="pct"/>
            <w:shd w:val="clear" w:color="auto" w:fill="auto"/>
            <w:vAlign w:val="center"/>
          </w:tcPr>
          <w:p>
            <w:pPr>
              <w:pStyle w:val="43"/>
              <w:rPr>
                <w:color w:val="auto"/>
              </w:rPr>
            </w:pPr>
            <w:r>
              <w:rPr>
                <w:color w:val="auto"/>
              </w:rPr>
              <w:t>平均值</w:t>
            </w:r>
          </w:p>
        </w:tc>
        <w:tc>
          <w:tcPr>
            <w:tcW w:w="449" w:type="pct"/>
            <w:shd w:val="clear" w:color="auto" w:fill="auto"/>
            <w:vAlign w:val="center"/>
          </w:tcPr>
          <w:p>
            <w:pPr>
              <w:pStyle w:val="43"/>
              <w:rPr>
                <w:color w:val="auto"/>
              </w:rPr>
            </w:pPr>
            <w:r>
              <w:rPr>
                <w:rFonts w:hint="eastAsia"/>
                <w:color w:val="auto"/>
              </w:rPr>
              <w:t>3</w:t>
            </w:r>
            <w:r>
              <w:rPr>
                <w:color w:val="auto"/>
              </w:rPr>
              <w:t>.52</w:t>
            </w:r>
          </w:p>
        </w:tc>
        <w:tc>
          <w:tcPr>
            <w:tcW w:w="450" w:type="pct"/>
            <w:shd w:val="clear" w:color="auto" w:fill="auto"/>
            <w:vAlign w:val="center"/>
          </w:tcPr>
          <w:p>
            <w:pPr>
              <w:pStyle w:val="43"/>
              <w:rPr>
                <w:color w:val="auto"/>
              </w:rPr>
            </w:pPr>
            <w:r>
              <w:rPr>
                <w:color w:val="auto"/>
              </w:rPr>
              <w:t>8.43×10</w:t>
            </w:r>
            <w:r>
              <w:rPr>
                <w:color w:val="auto"/>
                <w:vertAlign w:val="superscript"/>
              </w:rPr>
              <w:t>-2</w:t>
            </w:r>
          </w:p>
        </w:tc>
        <w:tc>
          <w:tcPr>
            <w:tcW w:w="450" w:type="pct"/>
            <w:shd w:val="clear" w:color="auto" w:fill="auto"/>
            <w:vAlign w:val="center"/>
          </w:tcPr>
          <w:p>
            <w:pPr>
              <w:pStyle w:val="43"/>
              <w:rPr>
                <w:color w:val="auto"/>
              </w:rPr>
            </w:pPr>
            <w:r>
              <w:rPr>
                <w:color w:val="auto"/>
              </w:rPr>
              <w:t>&lt;1.0</w:t>
            </w:r>
          </w:p>
        </w:tc>
        <w:tc>
          <w:tcPr>
            <w:tcW w:w="450" w:type="pct"/>
            <w:shd w:val="clear" w:color="auto" w:fill="auto"/>
            <w:vAlign w:val="center"/>
          </w:tcPr>
          <w:p>
            <w:pPr>
              <w:pStyle w:val="43"/>
              <w:rPr>
                <w:color w:val="auto"/>
              </w:rPr>
            </w:pPr>
            <w:r>
              <w:rPr>
                <w:color w:val="auto"/>
              </w:rPr>
              <w:t>1.20×10</w:t>
            </w:r>
            <w:r>
              <w:rPr>
                <w:color w:val="auto"/>
                <w:vertAlign w:val="superscript"/>
              </w:rPr>
              <w:t>-2</w:t>
            </w:r>
          </w:p>
        </w:tc>
        <w:tc>
          <w:tcPr>
            <w:tcW w:w="449" w:type="pct"/>
            <w:vAlign w:val="center"/>
          </w:tcPr>
          <w:p>
            <w:pPr>
              <w:pStyle w:val="43"/>
              <w:rPr>
                <w:color w:val="auto"/>
              </w:rPr>
            </w:pPr>
            <w:r>
              <w:rPr>
                <w:color w:val="auto"/>
              </w:rPr>
              <w:t>&lt;3</w:t>
            </w:r>
          </w:p>
        </w:tc>
        <w:tc>
          <w:tcPr>
            <w:tcW w:w="450" w:type="pct"/>
            <w:shd w:val="clear" w:color="auto" w:fill="auto"/>
            <w:vAlign w:val="center"/>
          </w:tcPr>
          <w:p>
            <w:pPr>
              <w:pStyle w:val="43"/>
              <w:rPr>
                <w:color w:val="auto"/>
              </w:rPr>
            </w:pPr>
            <w:r>
              <w:rPr>
                <w:color w:val="auto"/>
              </w:rPr>
              <w:t>3.59×10</w:t>
            </w:r>
            <w:r>
              <w:rPr>
                <w:color w:val="auto"/>
                <w:vertAlign w:val="superscript"/>
              </w:rPr>
              <w:t>-2</w:t>
            </w:r>
          </w:p>
        </w:tc>
        <w:tc>
          <w:tcPr>
            <w:tcW w:w="450" w:type="pct"/>
            <w:vAlign w:val="center"/>
          </w:tcPr>
          <w:p>
            <w:pPr>
              <w:pStyle w:val="43"/>
              <w:rPr>
                <w:color w:val="auto"/>
              </w:rPr>
            </w:pPr>
            <w:r>
              <w:rPr>
                <w:color w:val="auto"/>
              </w:rPr>
              <w:t>&lt;3</w:t>
            </w:r>
          </w:p>
        </w:tc>
        <w:tc>
          <w:tcPr>
            <w:tcW w:w="450" w:type="pct"/>
            <w:vAlign w:val="center"/>
          </w:tcPr>
          <w:p>
            <w:pPr>
              <w:pStyle w:val="43"/>
              <w:rPr>
                <w:color w:val="auto"/>
              </w:rPr>
            </w:pPr>
            <w:r>
              <w:rPr>
                <w:color w:val="auto"/>
              </w:rPr>
              <w:t>3.59×10</w:t>
            </w:r>
            <w:r>
              <w:rPr>
                <w:color w:val="auto"/>
                <w:vertAlign w:val="superscript"/>
              </w:rPr>
              <w:t>-2</w:t>
            </w:r>
          </w:p>
        </w:tc>
        <w:tc>
          <w:tcPr>
            <w:tcW w:w="436" w:type="pct"/>
          </w:tcPr>
          <w:p>
            <w:pPr>
              <w:pStyle w:val="43"/>
              <w:rPr>
                <w:color w:val="auto"/>
              </w:rPr>
            </w:pPr>
            <w:r>
              <w:rPr>
                <w:rFonts w:hint="eastAsia"/>
                <w:color w:val="auto"/>
              </w:rPr>
              <w:t>1</w:t>
            </w:r>
            <w:r>
              <w:rPr>
                <w:color w:val="auto"/>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gridSpan w:val="3"/>
            <w:shd w:val="clear" w:color="auto" w:fill="auto"/>
            <w:vAlign w:val="center"/>
          </w:tcPr>
          <w:p>
            <w:pPr>
              <w:pStyle w:val="43"/>
              <w:rPr>
                <w:color w:val="auto"/>
              </w:rPr>
            </w:pPr>
            <w:r>
              <w:rPr>
                <w:color w:val="auto"/>
              </w:rPr>
              <w:t>标准限值</w:t>
            </w:r>
          </w:p>
        </w:tc>
        <w:tc>
          <w:tcPr>
            <w:tcW w:w="449" w:type="pct"/>
            <w:shd w:val="clear" w:color="auto" w:fill="auto"/>
            <w:vAlign w:val="center"/>
          </w:tcPr>
          <w:p>
            <w:pPr>
              <w:pStyle w:val="43"/>
              <w:rPr>
                <w:color w:val="auto"/>
              </w:rPr>
            </w:pPr>
            <w:r>
              <w:rPr>
                <w:color w:val="auto"/>
              </w:rPr>
              <w:t>80</w:t>
            </w:r>
          </w:p>
        </w:tc>
        <w:tc>
          <w:tcPr>
            <w:tcW w:w="450" w:type="pct"/>
            <w:shd w:val="clear" w:color="auto" w:fill="auto"/>
            <w:vAlign w:val="center"/>
          </w:tcPr>
          <w:p>
            <w:pPr>
              <w:pStyle w:val="43"/>
              <w:rPr>
                <w:color w:val="auto"/>
              </w:rPr>
            </w:pPr>
            <w:r>
              <w:rPr>
                <w:rFonts w:hint="eastAsia"/>
                <w:color w:val="auto"/>
              </w:rPr>
              <w:t>/</w:t>
            </w:r>
          </w:p>
        </w:tc>
        <w:tc>
          <w:tcPr>
            <w:tcW w:w="450" w:type="pct"/>
            <w:shd w:val="clear" w:color="auto" w:fill="auto"/>
            <w:vAlign w:val="center"/>
          </w:tcPr>
          <w:p>
            <w:pPr>
              <w:pStyle w:val="43"/>
              <w:rPr>
                <w:color w:val="auto"/>
              </w:rPr>
            </w:pPr>
            <w:r>
              <w:rPr>
                <w:color w:val="auto"/>
              </w:rPr>
              <w:t>30</w:t>
            </w:r>
          </w:p>
        </w:tc>
        <w:tc>
          <w:tcPr>
            <w:tcW w:w="450" w:type="pct"/>
            <w:shd w:val="clear" w:color="auto" w:fill="auto"/>
            <w:vAlign w:val="center"/>
          </w:tcPr>
          <w:p>
            <w:pPr>
              <w:pStyle w:val="43"/>
              <w:rPr>
                <w:color w:val="auto"/>
              </w:rPr>
            </w:pPr>
            <w:r>
              <w:rPr>
                <w:color w:val="auto"/>
              </w:rPr>
              <w:t>/</w:t>
            </w:r>
          </w:p>
        </w:tc>
        <w:tc>
          <w:tcPr>
            <w:tcW w:w="449" w:type="pct"/>
            <w:shd w:val="clear" w:color="auto" w:fill="auto"/>
            <w:vAlign w:val="center"/>
          </w:tcPr>
          <w:p>
            <w:pPr>
              <w:pStyle w:val="43"/>
              <w:rPr>
                <w:color w:val="auto"/>
              </w:rPr>
            </w:pPr>
            <w:r>
              <w:rPr>
                <w:color w:val="auto"/>
              </w:rPr>
              <w:t>200</w:t>
            </w:r>
          </w:p>
        </w:tc>
        <w:tc>
          <w:tcPr>
            <w:tcW w:w="450" w:type="pct"/>
            <w:shd w:val="clear" w:color="auto" w:fill="auto"/>
            <w:vAlign w:val="center"/>
          </w:tcPr>
          <w:p>
            <w:pPr>
              <w:pStyle w:val="43"/>
              <w:rPr>
                <w:color w:val="auto"/>
              </w:rPr>
            </w:pPr>
            <w:r>
              <w:rPr>
                <w:color w:val="auto"/>
              </w:rPr>
              <w:t>/</w:t>
            </w:r>
          </w:p>
        </w:tc>
        <w:tc>
          <w:tcPr>
            <w:tcW w:w="450" w:type="pct"/>
            <w:vAlign w:val="center"/>
          </w:tcPr>
          <w:p>
            <w:pPr>
              <w:pStyle w:val="43"/>
              <w:rPr>
                <w:color w:val="auto"/>
              </w:rPr>
            </w:pPr>
            <w:r>
              <w:rPr>
                <w:color w:val="auto"/>
              </w:rPr>
              <w:t>300</w:t>
            </w:r>
          </w:p>
        </w:tc>
        <w:tc>
          <w:tcPr>
            <w:tcW w:w="450" w:type="pct"/>
            <w:vAlign w:val="center"/>
          </w:tcPr>
          <w:p>
            <w:pPr>
              <w:pStyle w:val="43"/>
              <w:rPr>
                <w:color w:val="auto"/>
              </w:rPr>
            </w:pPr>
            <w:r>
              <w:rPr>
                <w:color w:val="auto"/>
              </w:rPr>
              <w:t>/</w:t>
            </w:r>
          </w:p>
        </w:tc>
        <w:tc>
          <w:tcPr>
            <w:tcW w:w="436" w:type="pct"/>
          </w:tcPr>
          <w:p>
            <w:pPr>
              <w:pStyle w:val="43"/>
              <w:rPr>
                <w:color w:val="auto"/>
              </w:rPr>
            </w:pPr>
            <w:r>
              <w:rPr>
                <w:rFonts w:hint="eastAsia"/>
                <w:color w:val="auto"/>
              </w:rPr>
              <w:t>3</w:t>
            </w: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gridSpan w:val="3"/>
            <w:shd w:val="clear" w:color="auto" w:fill="auto"/>
            <w:vAlign w:val="center"/>
          </w:tcPr>
          <w:p>
            <w:pPr>
              <w:pStyle w:val="43"/>
              <w:rPr>
                <w:color w:val="auto"/>
              </w:rPr>
            </w:pPr>
            <w:r>
              <w:rPr>
                <w:color w:val="auto"/>
              </w:rPr>
              <w:t>达标情况</w:t>
            </w:r>
          </w:p>
        </w:tc>
        <w:tc>
          <w:tcPr>
            <w:tcW w:w="449" w:type="pct"/>
            <w:shd w:val="clear" w:color="auto" w:fill="auto"/>
            <w:vAlign w:val="center"/>
          </w:tcPr>
          <w:p>
            <w:pPr>
              <w:pStyle w:val="43"/>
              <w:rPr>
                <w:color w:val="auto"/>
              </w:rPr>
            </w:pPr>
            <w:r>
              <w:rPr>
                <w:rFonts w:hint="eastAsia"/>
                <w:color w:val="auto"/>
              </w:rPr>
              <w:t>达标</w:t>
            </w:r>
          </w:p>
        </w:tc>
        <w:tc>
          <w:tcPr>
            <w:tcW w:w="450" w:type="pct"/>
            <w:shd w:val="clear" w:color="auto" w:fill="auto"/>
            <w:vAlign w:val="center"/>
          </w:tcPr>
          <w:p>
            <w:pPr>
              <w:pStyle w:val="43"/>
              <w:rPr>
                <w:color w:val="auto"/>
              </w:rPr>
            </w:pPr>
            <w:r>
              <w:rPr>
                <w:rFonts w:hint="eastAsia"/>
                <w:color w:val="auto"/>
              </w:rPr>
              <w:t>/</w:t>
            </w:r>
          </w:p>
        </w:tc>
        <w:tc>
          <w:tcPr>
            <w:tcW w:w="450" w:type="pct"/>
            <w:shd w:val="clear" w:color="auto" w:fill="auto"/>
            <w:vAlign w:val="center"/>
          </w:tcPr>
          <w:p>
            <w:pPr>
              <w:pStyle w:val="43"/>
              <w:rPr>
                <w:color w:val="auto"/>
              </w:rPr>
            </w:pPr>
            <w:r>
              <w:rPr>
                <w:color w:val="auto"/>
              </w:rPr>
              <w:t>达标</w:t>
            </w:r>
          </w:p>
        </w:tc>
        <w:tc>
          <w:tcPr>
            <w:tcW w:w="450" w:type="pct"/>
            <w:shd w:val="clear" w:color="auto" w:fill="auto"/>
            <w:vAlign w:val="center"/>
          </w:tcPr>
          <w:p>
            <w:pPr>
              <w:pStyle w:val="43"/>
              <w:rPr>
                <w:color w:val="auto"/>
              </w:rPr>
            </w:pPr>
            <w:r>
              <w:rPr>
                <w:color w:val="auto"/>
              </w:rPr>
              <w:t>/</w:t>
            </w:r>
          </w:p>
        </w:tc>
        <w:tc>
          <w:tcPr>
            <w:tcW w:w="449" w:type="pct"/>
            <w:shd w:val="clear" w:color="auto" w:fill="auto"/>
            <w:vAlign w:val="center"/>
          </w:tcPr>
          <w:p>
            <w:pPr>
              <w:pStyle w:val="43"/>
              <w:rPr>
                <w:color w:val="auto"/>
              </w:rPr>
            </w:pPr>
            <w:r>
              <w:rPr>
                <w:color w:val="auto"/>
              </w:rPr>
              <w:t>达标</w:t>
            </w:r>
          </w:p>
        </w:tc>
        <w:tc>
          <w:tcPr>
            <w:tcW w:w="450" w:type="pct"/>
            <w:shd w:val="clear" w:color="auto" w:fill="auto"/>
            <w:vAlign w:val="center"/>
          </w:tcPr>
          <w:p>
            <w:pPr>
              <w:pStyle w:val="43"/>
              <w:rPr>
                <w:color w:val="auto"/>
              </w:rPr>
            </w:pPr>
            <w:r>
              <w:rPr>
                <w:color w:val="auto"/>
              </w:rPr>
              <w:t>/</w:t>
            </w:r>
          </w:p>
        </w:tc>
        <w:tc>
          <w:tcPr>
            <w:tcW w:w="450" w:type="pct"/>
            <w:vAlign w:val="center"/>
          </w:tcPr>
          <w:p>
            <w:pPr>
              <w:pStyle w:val="43"/>
              <w:rPr>
                <w:color w:val="auto"/>
              </w:rPr>
            </w:pPr>
            <w:r>
              <w:rPr>
                <w:color w:val="auto"/>
              </w:rPr>
              <w:t>达标</w:t>
            </w:r>
          </w:p>
        </w:tc>
        <w:tc>
          <w:tcPr>
            <w:tcW w:w="450" w:type="pct"/>
            <w:vAlign w:val="center"/>
          </w:tcPr>
          <w:p>
            <w:pPr>
              <w:pStyle w:val="43"/>
              <w:rPr>
                <w:color w:val="auto"/>
              </w:rPr>
            </w:pPr>
            <w:r>
              <w:rPr>
                <w:rFonts w:hint="eastAsia"/>
                <w:color w:val="auto"/>
              </w:rPr>
              <w:t>/</w:t>
            </w:r>
          </w:p>
        </w:tc>
        <w:tc>
          <w:tcPr>
            <w:tcW w:w="436" w:type="pct"/>
          </w:tcPr>
          <w:p>
            <w:pPr>
              <w:pStyle w:val="43"/>
              <w:rPr>
                <w:color w:val="auto"/>
              </w:rPr>
            </w:pPr>
            <w:r>
              <w:rPr>
                <w:rFonts w:hint="eastAsia"/>
                <w:color w:val="auto"/>
              </w:rPr>
              <w:t>达标</w:t>
            </w:r>
          </w:p>
        </w:tc>
      </w:tr>
    </w:tbl>
    <w:p>
      <w:pPr>
        <w:ind w:firstLine="480"/>
      </w:pPr>
    </w:p>
    <w:p>
      <w:pPr>
        <w:pStyle w:val="2"/>
        <w:ind w:left="480" w:firstLine="480"/>
        <w:sectPr>
          <w:pgSz w:w="16838" w:h="11906" w:orient="landscape"/>
          <w:pgMar w:top="1701" w:right="1418" w:bottom="1701" w:left="1418" w:header="851" w:footer="992" w:gutter="0"/>
          <w:pgNumType w:fmt="numberInDash"/>
          <w:cols w:space="425" w:num="1"/>
          <w:docGrid w:type="lines" w:linePitch="326" w:charSpace="0"/>
        </w:sectPr>
      </w:pPr>
    </w:p>
    <w:p>
      <w:pPr>
        <w:ind w:firstLine="480"/>
      </w:pPr>
      <w:r>
        <w:rPr>
          <w:rFonts w:hint="eastAsia"/>
        </w:rPr>
        <w:t>浙江泓远检测科技有限公司又于</w:t>
      </w:r>
      <w:r>
        <w:t>2022</w:t>
      </w:r>
      <w:r>
        <w:rPr>
          <w:rFonts w:hint="eastAsia"/>
        </w:rPr>
        <w:t>年</w:t>
      </w:r>
      <w:r>
        <w:t>9</w:t>
      </w:r>
      <w:r>
        <w:rPr>
          <w:rFonts w:hint="eastAsia"/>
        </w:rPr>
        <w:t>月</w:t>
      </w:r>
      <w:r>
        <w:t>2</w:t>
      </w:r>
      <w:r>
        <w:rPr>
          <w:rFonts w:hint="eastAsia"/>
        </w:rPr>
        <w:t>日、</w:t>
      </w:r>
      <w:r>
        <w:t>9</w:t>
      </w:r>
      <w:r>
        <w:rPr>
          <w:rFonts w:hint="eastAsia"/>
        </w:rPr>
        <w:t>月</w:t>
      </w:r>
      <w:r>
        <w:t>3</w:t>
      </w:r>
      <w:r>
        <w:rPr>
          <w:rFonts w:hint="eastAsia"/>
        </w:rPr>
        <w:t>日对桐乡市诺派纺织科技有限公司厂界无组织废气及厂区内无组织废气的排放进行了现场监测，监测期间气象条件见表9-</w:t>
      </w:r>
      <w:r>
        <w:t>6</w:t>
      </w:r>
      <w:r>
        <w:rPr>
          <w:rFonts w:hint="eastAsia"/>
        </w:rPr>
        <w:t>，无组织废气排放监测结果见表9-</w:t>
      </w:r>
      <w:r>
        <w:t>7</w:t>
      </w:r>
      <w:r>
        <w:rPr>
          <w:rFonts w:hint="eastAsia"/>
        </w:rPr>
        <w:t>。</w:t>
      </w:r>
    </w:p>
    <w:p>
      <w:pPr>
        <w:ind w:firstLine="480"/>
      </w:pPr>
      <w:r>
        <w:rPr>
          <w:rFonts w:hint="eastAsia"/>
        </w:rPr>
        <w:t>根据监测结果，本项目厂界四周总悬浮颗粒物、非甲烷总烃的无组织排放浓度值均低于《大气污染物综合排放标准》（GB16297-1996）表2中的无组织排放监控浓度限值。臭气浓度无组织排放浓度值低于DB33/962-2015《纺织染整工业大气污染物排放标准》表2规定的相关限值。厂区内非甲烷总烃的无组织排放监控点处1小时平均浓度值</w:t>
      </w:r>
    </w:p>
    <w:p>
      <w:pPr>
        <w:pStyle w:val="39"/>
        <w:spacing w:before="0" w:beforeLines="0" w:after="31"/>
        <w:rPr>
          <w:color w:val="auto"/>
        </w:rPr>
      </w:pPr>
      <w:r>
        <w:rPr>
          <w:rFonts w:hint="eastAsia"/>
          <w:color w:val="auto"/>
        </w:rPr>
        <w:t>表9-</w:t>
      </w:r>
      <w:r>
        <w:rPr>
          <w:color w:val="auto"/>
        </w:rPr>
        <w:t>6</w:t>
      </w:r>
      <w:r>
        <w:rPr>
          <w:rFonts w:hint="eastAsia"/>
          <w:color w:val="auto"/>
        </w:rPr>
        <w:t xml:space="preserve"> </w:t>
      </w:r>
      <w:r>
        <w:rPr>
          <w:color w:val="auto"/>
        </w:rPr>
        <w:t xml:space="preserve"> </w:t>
      </w:r>
      <w:r>
        <w:rPr>
          <w:rFonts w:hint="eastAsia"/>
          <w:color w:val="auto"/>
        </w:rPr>
        <w:t>气象条件</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1489"/>
        <w:gridCol w:w="1015"/>
        <w:gridCol w:w="1015"/>
        <w:gridCol w:w="1015"/>
        <w:gridCol w:w="1015"/>
        <w:gridCol w:w="1015"/>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Align w:val="center"/>
          </w:tcPr>
          <w:p>
            <w:pPr>
              <w:pStyle w:val="44"/>
              <w:rPr>
                <w:b/>
                <w:bCs w:val="0"/>
                <w:color w:val="auto"/>
              </w:rPr>
            </w:pPr>
            <w:r>
              <w:rPr>
                <w:rFonts w:hint="eastAsia"/>
                <w:b/>
                <w:bCs w:val="0"/>
                <w:color w:val="auto"/>
              </w:rPr>
              <w:t>检测日期</w:t>
            </w:r>
          </w:p>
        </w:tc>
        <w:tc>
          <w:tcPr>
            <w:tcW w:w="854" w:type="pct"/>
            <w:vAlign w:val="center"/>
          </w:tcPr>
          <w:p>
            <w:pPr>
              <w:pStyle w:val="44"/>
              <w:rPr>
                <w:b/>
                <w:bCs w:val="0"/>
                <w:color w:val="auto"/>
              </w:rPr>
            </w:pPr>
            <w:r>
              <w:rPr>
                <w:rFonts w:hint="eastAsia"/>
                <w:b/>
                <w:bCs w:val="0"/>
                <w:color w:val="auto"/>
              </w:rPr>
              <w:t>检测时间</w:t>
            </w:r>
          </w:p>
        </w:tc>
        <w:tc>
          <w:tcPr>
            <w:tcW w:w="582" w:type="pct"/>
            <w:vAlign w:val="center"/>
          </w:tcPr>
          <w:p>
            <w:pPr>
              <w:pStyle w:val="44"/>
              <w:rPr>
                <w:b/>
                <w:bCs w:val="0"/>
                <w:color w:val="auto"/>
              </w:rPr>
            </w:pPr>
            <w:r>
              <w:rPr>
                <w:rFonts w:hint="eastAsia"/>
                <w:b/>
                <w:bCs w:val="0"/>
                <w:color w:val="auto"/>
              </w:rPr>
              <w:t>天气</w:t>
            </w:r>
          </w:p>
        </w:tc>
        <w:tc>
          <w:tcPr>
            <w:tcW w:w="582" w:type="pct"/>
            <w:vAlign w:val="center"/>
          </w:tcPr>
          <w:p>
            <w:pPr>
              <w:pStyle w:val="44"/>
              <w:rPr>
                <w:b/>
                <w:bCs w:val="0"/>
                <w:color w:val="auto"/>
              </w:rPr>
            </w:pPr>
            <w:r>
              <w:rPr>
                <w:rFonts w:hint="eastAsia"/>
                <w:b/>
                <w:bCs w:val="0"/>
                <w:color w:val="auto"/>
              </w:rPr>
              <w:t>湿度（%）</w:t>
            </w:r>
          </w:p>
        </w:tc>
        <w:tc>
          <w:tcPr>
            <w:tcW w:w="582" w:type="pct"/>
            <w:vAlign w:val="center"/>
          </w:tcPr>
          <w:p>
            <w:pPr>
              <w:pStyle w:val="44"/>
              <w:rPr>
                <w:b/>
                <w:bCs w:val="0"/>
                <w:color w:val="auto"/>
              </w:rPr>
            </w:pPr>
            <w:r>
              <w:rPr>
                <w:rFonts w:hint="eastAsia"/>
                <w:b/>
                <w:bCs w:val="0"/>
                <w:color w:val="auto"/>
              </w:rPr>
              <w:t>风速（m/s）</w:t>
            </w:r>
          </w:p>
        </w:tc>
        <w:tc>
          <w:tcPr>
            <w:tcW w:w="582" w:type="pct"/>
            <w:vAlign w:val="center"/>
          </w:tcPr>
          <w:p>
            <w:pPr>
              <w:pStyle w:val="44"/>
              <w:rPr>
                <w:b/>
                <w:bCs w:val="0"/>
                <w:color w:val="auto"/>
              </w:rPr>
            </w:pPr>
            <w:r>
              <w:rPr>
                <w:rFonts w:hint="eastAsia"/>
                <w:b/>
                <w:bCs w:val="0"/>
                <w:color w:val="auto"/>
              </w:rPr>
              <w:t>气温（℃）</w:t>
            </w:r>
          </w:p>
        </w:tc>
        <w:tc>
          <w:tcPr>
            <w:tcW w:w="582" w:type="pct"/>
            <w:vAlign w:val="center"/>
          </w:tcPr>
          <w:p>
            <w:pPr>
              <w:pStyle w:val="44"/>
              <w:rPr>
                <w:b/>
                <w:bCs w:val="0"/>
                <w:color w:val="auto"/>
              </w:rPr>
            </w:pPr>
            <w:r>
              <w:rPr>
                <w:rFonts w:hint="eastAsia"/>
                <w:b/>
                <w:bCs w:val="0"/>
                <w:color w:val="auto"/>
              </w:rPr>
              <w:t>风向</w:t>
            </w:r>
          </w:p>
        </w:tc>
        <w:tc>
          <w:tcPr>
            <w:tcW w:w="594" w:type="pct"/>
            <w:vAlign w:val="center"/>
          </w:tcPr>
          <w:p>
            <w:pPr>
              <w:pStyle w:val="44"/>
              <w:rPr>
                <w:b/>
                <w:bCs w:val="0"/>
                <w:color w:val="auto"/>
              </w:rPr>
            </w:pPr>
            <w:r>
              <w:rPr>
                <w:rFonts w:hint="eastAsia"/>
                <w:b/>
                <w:bCs w:val="0"/>
                <w:color w:val="auto"/>
              </w:rPr>
              <w:t>大气压（kPa）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restart"/>
            <w:vAlign w:val="center"/>
          </w:tcPr>
          <w:p>
            <w:pPr>
              <w:pStyle w:val="44"/>
              <w:rPr>
                <w:b/>
                <w:bCs w:val="0"/>
                <w:color w:val="auto"/>
              </w:rPr>
            </w:pPr>
            <w:r>
              <w:rPr>
                <w:bCs w:val="0"/>
                <w:color w:val="auto"/>
              </w:rPr>
              <w:t>2022.9.2</w:t>
            </w:r>
          </w:p>
        </w:tc>
        <w:tc>
          <w:tcPr>
            <w:tcW w:w="854" w:type="pct"/>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582" w:type="pct"/>
            <w:vMerge w:val="restart"/>
            <w:vAlign w:val="center"/>
          </w:tcPr>
          <w:p>
            <w:pPr>
              <w:pStyle w:val="44"/>
              <w:rPr>
                <w:b/>
                <w:bCs w:val="0"/>
                <w:color w:val="auto"/>
              </w:rPr>
            </w:pPr>
            <w:r>
              <w:rPr>
                <w:rFonts w:hint="eastAsia"/>
                <w:bCs w:val="0"/>
                <w:color w:val="auto"/>
              </w:rPr>
              <w:t>阴</w:t>
            </w:r>
          </w:p>
        </w:tc>
        <w:tc>
          <w:tcPr>
            <w:tcW w:w="582" w:type="pct"/>
            <w:vAlign w:val="center"/>
          </w:tcPr>
          <w:p>
            <w:pPr>
              <w:pStyle w:val="44"/>
              <w:rPr>
                <w:bCs w:val="0"/>
                <w:color w:val="auto"/>
              </w:rPr>
            </w:pPr>
            <w:r>
              <w:rPr>
                <w:rFonts w:hint="eastAsia"/>
                <w:bCs w:val="0"/>
                <w:color w:val="auto"/>
              </w:rPr>
              <w:t>7</w:t>
            </w:r>
            <w:r>
              <w:rPr>
                <w:bCs w:val="0"/>
                <w:color w:val="auto"/>
              </w:rPr>
              <w:t>7</w:t>
            </w:r>
          </w:p>
        </w:tc>
        <w:tc>
          <w:tcPr>
            <w:tcW w:w="582" w:type="pct"/>
            <w:vAlign w:val="center"/>
          </w:tcPr>
          <w:p>
            <w:pPr>
              <w:pStyle w:val="44"/>
              <w:rPr>
                <w:bCs w:val="0"/>
                <w:color w:val="auto"/>
              </w:rPr>
            </w:pPr>
            <w:r>
              <w:rPr>
                <w:rFonts w:hint="eastAsia"/>
                <w:bCs w:val="0"/>
                <w:color w:val="auto"/>
              </w:rPr>
              <w:t>4</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5</w:t>
            </w:r>
          </w:p>
        </w:tc>
        <w:tc>
          <w:tcPr>
            <w:tcW w:w="582" w:type="pct"/>
            <w:vMerge w:val="restart"/>
            <w:vAlign w:val="center"/>
          </w:tcPr>
          <w:p>
            <w:pPr>
              <w:pStyle w:val="44"/>
              <w:rPr>
                <w:b/>
                <w:bCs w:val="0"/>
                <w:color w:val="auto"/>
              </w:rPr>
            </w:pPr>
            <w:r>
              <w:rPr>
                <w:rFonts w:hint="eastAsia"/>
                <w:bCs w:val="0"/>
                <w:color w:val="auto"/>
              </w:rPr>
              <w:t>北</w:t>
            </w:r>
          </w:p>
        </w:tc>
        <w:tc>
          <w:tcPr>
            <w:tcW w:w="594" w:type="pct"/>
            <w:vAlign w:val="center"/>
          </w:tcPr>
          <w:p>
            <w:pPr>
              <w:pStyle w:val="44"/>
              <w:rPr>
                <w:bCs w:val="0"/>
                <w:color w:val="auto"/>
              </w:rPr>
            </w:pPr>
            <w:r>
              <w:rPr>
                <w:rFonts w:hint="eastAsia"/>
                <w:bCs w:val="0"/>
                <w:color w:val="auto"/>
              </w:rPr>
              <w:t>1</w:t>
            </w:r>
            <w:r>
              <w:rPr>
                <w:bCs w:val="0"/>
                <w:color w:val="auto"/>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continue"/>
            <w:vAlign w:val="center"/>
          </w:tcPr>
          <w:p>
            <w:pPr>
              <w:pStyle w:val="44"/>
              <w:rPr>
                <w:b/>
                <w:bCs w:val="0"/>
                <w:color w:val="auto"/>
              </w:rPr>
            </w:pPr>
          </w:p>
        </w:tc>
        <w:tc>
          <w:tcPr>
            <w:tcW w:w="854" w:type="pct"/>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582" w:type="pct"/>
            <w:vMerge w:val="continue"/>
            <w:vAlign w:val="center"/>
          </w:tcPr>
          <w:p>
            <w:pPr>
              <w:pStyle w:val="44"/>
              <w:rPr>
                <w:b/>
                <w:bCs w:val="0"/>
                <w:color w:val="auto"/>
              </w:rPr>
            </w:pPr>
          </w:p>
        </w:tc>
        <w:tc>
          <w:tcPr>
            <w:tcW w:w="582" w:type="pct"/>
            <w:vAlign w:val="center"/>
          </w:tcPr>
          <w:p>
            <w:pPr>
              <w:pStyle w:val="44"/>
              <w:rPr>
                <w:bCs w:val="0"/>
                <w:color w:val="auto"/>
              </w:rPr>
            </w:pPr>
            <w:r>
              <w:rPr>
                <w:rFonts w:hint="eastAsia"/>
                <w:bCs w:val="0"/>
                <w:color w:val="auto"/>
              </w:rPr>
              <w:t>7</w:t>
            </w:r>
            <w:r>
              <w:rPr>
                <w:bCs w:val="0"/>
                <w:color w:val="auto"/>
              </w:rPr>
              <w:t>5</w:t>
            </w:r>
          </w:p>
        </w:tc>
        <w:tc>
          <w:tcPr>
            <w:tcW w:w="582" w:type="pct"/>
            <w:vAlign w:val="center"/>
          </w:tcPr>
          <w:p>
            <w:pPr>
              <w:pStyle w:val="44"/>
              <w:rPr>
                <w:bCs w:val="0"/>
                <w:color w:val="auto"/>
              </w:rPr>
            </w:pPr>
            <w:r>
              <w:rPr>
                <w:rFonts w:hint="eastAsia"/>
                <w:bCs w:val="0"/>
                <w:color w:val="auto"/>
              </w:rPr>
              <w:t>4</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6</w:t>
            </w:r>
          </w:p>
        </w:tc>
        <w:tc>
          <w:tcPr>
            <w:tcW w:w="582" w:type="pct"/>
            <w:vMerge w:val="continue"/>
            <w:vAlign w:val="center"/>
          </w:tcPr>
          <w:p>
            <w:pPr>
              <w:pStyle w:val="44"/>
              <w:rPr>
                <w:b/>
                <w:bCs w:val="0"/>
                <w:color w:val="auto"/>
              </w:rPr>
            </w:pPr>
          </w:p>
        </w:tc>
        <w:tc>
          <w:tcPr>
            <w:tcW w:w="594" w:type="pct"/>
            <w:vAlign w:val="center"/>
          </w:tcPr>
          <w:p>
            <w:pPr>
              <w:pStyle w:val="44"/>
              <w:rPr>
                <w:bCs w:val="0"/>
                <w:color w:val="auto"/>
              </w:rPr>
            </w:pPr>
            <w:r>
              <w:rPr>
                <w:rFonts w:hint="eastAsia"/>
                <w:bCs w:val="0"/>
                <w:color w:val="auto"/>
              </w:rPr>
              <w:t>1</w:t>
            </w:r>
            <w:r>
              <w:rPr>
                <w:bCs w:val="0"/>
                <w:color w:val="auto"/>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continue"/>
            <w:vAlign w:val="center"/>
          </w:tcPr>
          <w:p>
            <w:pPr>
              <w:pStyle w:val="44"/>
              <w:rPr>
                <w:b/>
                <w:bCs w:val="0"/>
                <w:color w:val="auto"/>
              </w:rPr>
            </w:pPr>
          </w:p>
        </w:tc>
        <w:tc>
          <w:tcPr>
            <w:tcW w:w="854" w:type="pct"/>
            <w:vAlign w:val="center"/>
          </w:tcPr>
          <w:p>
            <w:pPr>
              <w:pStyle w:val="44"/>
              <w:rPr>
                <w:b/>
                <w:bCs w:val="0"/>
                <w:color w:val="auto"/>
              </w:rPr>
            </w:pPr>
            <w:r>
              <w:rPr>
                <w:bCs w:val="0"/>
                <w:color w:val="auto"/>
              </w:rPr>
              <w:t>12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582" w:type="pct"/>
            <w:vMerge w:val="continue"/>
            <w:vAlign w:val="center"/>
          </w:tcPr>
          <w:p>
            <w:pPr>
              <w:pStyle w:val="44"/>
              <w:rPr>
                <w:b/>
                <w:bCs w:val="0"/>
                <w:color w:val="auto"/>
              </w:rPr>
            </w:pPr>
          </w:p>
        </w:tc>
        <w:tc>
          <w:tcPr>
            <w:tcW w:w="582" w:type="pct"/>
            <w:vAlign w:val="center"/>
          </w:tcPr>
          <w:p>
            <w:pPr>
              <w:pStyle w:val="44"/>
              <w:rPr>
                <w:bCs w:val="0"/>
                <w:color w:val="auto"/>
              </w:rPr>
            </w:pPr>
            <w:r>
              <w:rPr>
                <w:rFonts w:hint="eastAsia"/>
                <w:bCs w:val="0"/>
                <w:color w:val="auto"/>
              </w:rPr>
              <w:t>7</w:t>
            </w:r>
            <w:r>
              <w:rPr>
                <w:bCs w:val="0"/>
                <w:color w:val="auto"/>
              </w:rPr>
              <w:t>2</w:t>
            </w:r>
          </w:p>
        </w:tc>
        <w:tc>
          <w:tcPr>
            <w:tcW w:w="582" w:type="pct"/>
            <w:vAlign w:val="center"/>
          </w:tcPr>
          <w:p>
            <w:pPr>
              <w:pStyle w:val="44"/>
              <w:rPr>
                <w:bCs w:val="0"/>
                <w:color w:val="auto"/>
              </w:rPr>
            </w:pPr>
            <w:r>
              <w:rPr>
                <w:rFonts w:hint="eastAsia"/>
                <w:bCs w:val="0"/>
                <w:color w:val="auto"/>
              </w:rPr>
              <w:t>3</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7</w:t>
            </w:r>
          </w:p>
        </w:tc>
        <w:tc>
          <w:tcPr>
            <w:tcW w:w="582" w:type="pct"/>
            <w:vMerge w:val="continue"/>
            <w:vAlign w:val="center"/>
          </w:tcPr>
          <w:p>
            <w:pPr>
              <w:pStyle w:val="44"/>
              <w:rPr>
                <w:b/>
                <w:bCs w:val="0"/>
                <w:color w:val="auto"/>
              </w:rPr>
            </w:pPr>
          </w:p>
        </w:tc>
        <w:tc>
          <w:tcPr>
            <w:tcW w:w="594" w:type="pct"/>
            <w:vAlign w:val="center"/>
          </w:tcPr>
          <w:p>
            <w:pPr>
              <w:pStyle w:val="44"/>
              <w:rPr>
                <w:bCs w:val="0"/>
                <w:color w:val="auto"/>
              </w:rPr>
            </w:pPr>
            <w:r>
              <w:rPr>
                <w:rFonts w:hint="eastAsia"/>
                <w:bCs w:val="0"/>
                <w:color w:val="auto"/>
              </w:rPr>
              <w:t>1</w:t>
            </w:r>
            <w:r>
              <w:rPr>
                <w:bCs w:val="0"/>
                <w:color w:val="auto"/>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continue"/>
            <w:vAlign w:val="center"/>
          </w:tcPr>
          <w:p>
            <w:pPr>
              <w:pStyle w:val="44"/>
              <w:rPr>
                <w:b/>
                <w:bCs w:val="0"/>
                <w:color w:val="auto"/>
              </w:rPr>
            </w:pPr>
          </w:p>
        </w:tc>
        <w:tc>
          <w:tcPr>
            <w:tcW w:w="854" w:type="pct"/>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582" w:type="pct"/>
            <w:vMerge w:val="continue"/>
            <w:vAlign w:val="center"/>
          </w:tcPr>
          <w:p>
            <w:pPr>
              <w:pStyle w:val="44"/>
              <w:rPr>
                <w:b/>
                <w:bCs w:val="0"/>
                <w:color w:val="auto"/>
              </w:rPr>
            </w:pPr>
          </w:p>
        </w:tc>
        <w:tc>
          <w:tcPr>
            <w:tcW w:w="582" w:type="pct"/>
            <w:vAlign w:val="center"/>
          </w:tcPr>
          <w:p>
            <w:pPr>
              <w:pStyle w:val="44"/>
              <w:rPr>
                <w:bCs w:val="0"/>
                <w:color w:val="auto"/>
              </w:rPr>
            </w:pPr>
            <w:r>
              <w:rPr>
                <w:rFonts w:hint="eastAsia"/>
                <w:bCs w:val="0"/>
                <w:color w:val="auto"/>
              </w:rPr>
              <w:t>7</w:t>
            </w:r>
            <w:r>
              <w:rPr>
                <w:bCs w:val="0"/>
                <w:color w:val="auto"/>
              </w:rPr>
              <w:t>0</w:t>
            </w:r>
          </w:p>
        </w:tc>
        <w:tc>
          <w:tcPr>
            <w:tcW w:w="582" w:type="pct"/>
            <w:vAlign w:val="center"/>
          </w:tcPr>
          <w:p>
            <w:pPr>
              <w:pStyle w:val="44"/>
              <w:rPr>
                <w:bCs w:val="0"/>
                <w:color w:val="auto"/>
              </w:rPr>
            </w:pPr>
            <w:r>
              <w:rPr>
                <w:rFonts w:hint="eastAsia"/>
                <w:bCs w:val="0"/>
                <w:color w:val="auto"/>
              </w:rPr>
              <w:t>3</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8</w:t>
            </w:r>
          </w:p>
        </w:tc>
        <w:tc>
          <w:tcPr>
            <w:tcW w:w="582" w:type="pct"/>
            <w:vMerge w:val="continue"/>
            <w:vAlign w:val="center"/>
          </w:tcPr>
          <w:p>
            <w:pPr>
              <w:pStyle w:val="44"/>
              <w:rPr>
                <w:b/>
                <w:bCs w:val="0"/>
                <w:color w:val="auto"/>
              </w:rPr>
            </w:pPr>
          </w:p>
        </w:tc>
        <w:tc>
          <w:tcPr>
            <w:tcW w:w="594" w:type="pct"/>
            <w:vAlign w:val="center"/>
          </w:tcPr>
          <w:p>
            <w:pPr>
              <w:pStyle w:val="44"/>
              <w:rPr>
                <w:bCs w:val="0"/>
                <w:color w:val="auto"/>
              </w:rPr>
            </w:pPr>
            <w:r>
              <w:rPr>
                <w:rFonts w:hint="eastAsia"/>
                <w:bCs w:val="0"/>
                <w:color w:val="auto"/>
              </w:rPr>
              <w:t>1</w:t>
            </w:r>
            <w:r>
              <w:rPr>
                <w:bCs w:val="0"/>
                <w:color w:val="auto"/>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restart"/>
            <w:vAlign w:val="center"/>
          </w:tcPr>
          <w:p>
            <w:pPr>
              <w:pStyle w:val="44"/>
              <w:rPr>
                <w:b/>
                <w:bCs w:val="0"/>
                <w:color w:val="auto"/>
              </w:rPr>
            </w:pPr>
            <w:r>
              <w:rPr>
                <w:bCs w:val="0"/>
                <w:color w:val="auto"/>
              </w:rPr>
              <w:t>2022.9.3</w:t>
            </w:r>
          </w:p>
        </w:tc>
        <w:tc>
          <w:tcPr>
            <w:tcW w:w="854" w:type="pct"/>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582" w:type="pct"/>
            <w:vMerge w:val="restart"/>
            <w:vAlign w:val="center"/>
          </w:tcPr>
          <w:p>
            <w:pPr>
              <w:pStyle w:val="44"/>
              <w:rPr>
                <w:b/>
                <w:bCs w:val="0"/>
                <w:color w:val="auto"/>
              </w:rPr>
            </w:pPr>
            <w:r>
              <w:rPr>
                <w:rFonts w:hint="eastAsia"/>
                <w:bCs w:val="0"/>
                <w:color w:val="auto"/>
              </w:rPr>
              <w:t>阴</w:t>
            </w:r>
          </w:p>
        </w:tc>
        <w:tc>
          <w:tcPr>
            <w:tcW w:w="582" w:type="pct"/>
            <w:vAlign w:val="center"/>
          </w:tcPr>
          <w:p>
            <w:pPr>
              <w:pStyle w:val="44"/>
              <w:rPr>
                <w:bCs w:val="0"/>
                <w:color w:val="auto"/>
              </w:rPr>
            </w:pPr>
            <w:r>
              <w:rPr>
                <w:rFonts w:hint="eastAsia"/>
                <w:bCs w:val="0"/>
                <w:color w:val="auto"/>
              </w:rPr>
              <w:t>9</w:t>
            </w:r>
            <w:r>
              <w:rPr>
                <w:bCs w:val="0"/>
                <w:color w:val="auto"/>
              </w:rPr>
              <w:t>0</w:t>
            </w:r>
          </w:p>
        </w:tc>
        <w:tc>
          <w:tcPr>
            <w:tcW w:w="582" w:type="pct"/>
            <w:vAlign w:val="center"/>
          </w:tcPr>
          <w:p>
            <w:pPr>
              <w:pStyle w:val="44"/>
              <w:rPr>
                <w:bCs w:val="0"/>
                <w:color w:val="auto"/>
              </w:rPr>
            </w:pPr>
            <w:r>
              <w:rPr>
                <w:rFonts w:hint="eastAsia"/>
                <w:bCs w:val="0"/>
                <w:color w:val="auto"/>
              </w:rPr>
              <w:t>4</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6</w:t>
            </w:r>
          </w:p>
        </w:tc>
        <w:tc>
          <w:tcPr>
            <w:tcW w:w="582" w:type="pct"/>
            <w:vMerge w:val="restart"/>
            <w:vAlign w:val="center"/>
          </w:tcPr>
          <w:p>
            <w:pPr>
              <w:pStyle w:val="44"/>
              <w:rPr>
                <w:b/>
                <w:bCs w:val="0"/>
                <w:color w:val="auto"/>
              </w:rPr>
            </w:pPr>
            <w:r>
              <w:rPr>
                <w:rFonts w:hint="eastAsia"/>
                <w:bCs w:val="0"/>
                <w:color w:val="auto"/>
              </w:rPr>
              <w:t>北</w:t>
            </w:r>
          </w:p>
        </w:tc>
        <w:tc>
          <w:tcPr>
            <w:tcW w:w="594" w:type="pct"/>
            <w:vAlign w:val="center"/>
          </w:tcPr>
          <w:p>
            <w:pPr>
              <w:pStyle w:val="44"/>
              <w:rPr>
                <w:bCs w:val="0"/>
                <w:color w:val="auto"/>
              </w:rPr>
            </w:pPr>
            <w:r>
              <w:rPr>
                <w:rFonts w:hint="eastAsia"/>
                <w:bCs w:val="0"/>
                <w:color w:val="auto"/>
              </w:rPr>
              <w:t>1</w:t>
            </w:r>
            <w:r>
              <w:rPr>
                <w:bCs w:val="0"/>
                <w:color w:val="auto"/>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continue"/>
            <w:vAlign w:val="center"/>
          </w:tcPr>
          <w:p>
            <w:pPr>
              <w:pStyle w:val="44"/>
              <w:rPr>
                <w:b/>
                <w:bCs w:val="0"/>
                <w:color w:val="auto"/>
              </w:rPr>
            </w:pPr>
          </w:p>
        </w:tc>
        <w:tc>
          <w:tcPr>
            <w:tcW w:w="854" w:type="pct"/>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582" w:type="pct"/>
            <w:vMerge w:val="continue"/>
            <w:vAlign w:val="center"/>
          </w:tcPr>
          <w:p>
            <w:pPr>
              <w:pStyle w:val="44"/>
              <w:rPr>
                <w:b/>
                <w:bCs w:val="0"/>
                <w:color w:val="auto"/>
              </w:rPr>
            </w:pPr>
          </w:p>
        </w:tc>
        <w:tc>
          <w:tcPr>
            <w:tcW w:w="582" w:type="pct"/>
            <w:vAlign w:val="center"/>
          </w:tcPr>
          <w:p>
            <w:pPr>
              <w:pStyle w:val="44"/>
              <w:rPr>
                <w:bCs w:val="0"/>
                <w:color w:val="auto"/>
              </w:rPr>
            </w:pPr>
            <w:r>
              <w:rPr>
                <w:rFonts w:hint="eastAsia"/>
                <w:bCs w:val="0"/>
                <w:color w:val="auto"/>
              </w:rPr>
              <w:t>8</w:t>
            </w:r>
            <w:r>
              <w:rPr>
                <w:bCs w:val="0"/>
                <w:color w:val="auto"/>
              </w:rPr>
              <w:t>7</w:t>
            </w:r>
          </w:p>
        </w:tc>
        <w:tc>
          <w:tcPr>
            <w:tcW w:w="582" w:type="pct"/>
            <w:vAlign w:val="center"/>
          </w:tcPr>
          <w:p>
            <w:pPr>
              <w:pStyle w:val="44"/>
              <w:rPr>
                <w:bCs w:val="0"/>
                <w:color w:val="auto"/>
              </w:rPr>
            </w:pPr>
            <w:r>
              <w:rPr>
                <w:rFonts w:hint="eastAsia"/>
                <w:bCs w:val="0"/>
                <w:color w:val="auto"/>
              </w:rPr>
              <w:t>4</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7</w:t>
            </w:r>
          </w:p>
        </w:tc>
        <w:tc>
          <w:tcPr>
            <w:tcW w:w="582" w:type="pct"/>
            <w:vMerge w:val="continue"/>
            <w:vAlign w:val="center"/>
          </w:tcPr>
          <w:p>
            <w:pPr>
              <w:pStyle w:val="44"/>
              <w:rPr>
                <w:b/>
                <w:bCs w:val="0"/>
                <w:color w:val="auto"/>
              </w:rPr>
            </w:pPr>
          </w:p>
        </w:tc>
        <w:tc>
          <w:tcPr>
            <w:tcW w:w="594" w:type="pct"/>
            <w:vAlign w:val="center"/>
          </w:tcPr>
          <w:p>
            <w:pPr>
              <w:pStyle w:val="44"/>
              <w:rPr>
                <w:bCs w:val="0"/>
                <w:color w:val="auto"/>
              </w:rPr>
            </w:pPr>
            <w:r>
              <w:rPr>
                <w:rFonts w:hint="eastAsia"/>
                <w:bCs w:val="0"/>
                <w:color w:val="auto"/>
              </w:rPr>
              <w:t>1</w:t>
            </w:r>
            <w:r>
              <w:rPr>
                <w:bCs w:val="0"/>
                <w:color w:val="auto"/>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continue"/>
            <w:vAlign w:val="center"/>
          </w:tcPr>
          <w:p>
            <w:pPr>
              <w:pStyle w:val="44"/>
              <w:rPr>
                <w:b/>
                <w:bCs w:val="0"/>
                <w:color w:val="auto"/>
              </w:rPr>
            </w:pPr>
          </w:p>
        </w:tc>
        <w:tc>
          <w:tcPr>
            <w:tcW w:w="854" w:type="pct"/>
            <w:vAlign w:val="center"/>
          </w:tcPr>
          <w:p>
            <w:pPr>
              <w:pStyle w:val="44"/>
              <w:rPr>
                <w:b/>
                <w:bCs w:val="0"/>
                <w:color w:val="auto"/>
              </w:rPr>
            </w:pPr>
            <w:r>
              <w:rPr>
                <w:bCs w:val="0"/>
                <w:color w:val="auto"/>
              </w:rPr>
              <w:t>12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582" w:type="pct"/>
            <w:vMerge w:val="continue"/>
            <w:vAlign w:val="center"/>
          </w:tcPr>
          <w:p>
            <w:pPr>
              <w:pStyle w:val="44"/>
              <w:rPr>
                <w:b/>
                <w:bCs w:val="0"/>
                <w:color w:val="auto"/>
              </w:rPr>
            </w:pPr>
          </w:p>
        </w:tc>
        <w:tc>
          <w:tcPr>
            <w:tcW w:w="582" w:type="pct"/>
            <w:vAlign w:val="center"/>
          </w:tcPr>
          <w:p>
            <w:pPr>
              <w:pStyle w:val="44"/>
              <w:rPr>
                <w:bCs w:val="0"/>
                <w:color w:val="auto"/>
              </w:rPr>
            </w:pPr>
            <w:r>
              <w:rPr>
                <w:rFonts w:hint="eastAsia"/>
                <w:bCs w:val="0"/>
                <w:color w:val="auto"/>
              </w:rPr>
              <w:t>8</w:t>
            </w:r>
            <w:r>
              <w:rPr>
                <w:bCs w:val="0"/>
                <w:color w:val="auto"/>
              </w:rPr>
              <w:t>4</w:t>
            </w:r>
          </w:p>
        </w:tc>
        <w:tc>
          <w:tcPr>
            <w:tcW w:w="582" w:type="pct"/>
            <w:vAlign w:val="center"/>
          </w:tcPr>
          <w:p>
            <w:pPr>
              <w:pStyle w:val="44"/>
              <w:rPr>
                <w:bCs w:val="0"/>
                <w:color w:val="auto"/>
              </w:rPr>
            </w:pPr>
            <w:r>
              <w:rPr>
                <w:rFonts w:hint="eastAsia"/>
                <w:bCs w:val="0"/>
                <w:color w:val="auto"/>
              </w:rPr>
              <w:t>4</w:t>
            </w:r>
            <w:r>
              <w:rPr>
                <w:bCs w:val="0"/>
                <w:color w:val="auto"/>
              </w:rPr>
              <w:t>.0</w:t>
            </w:r>
          </w:p>
        </w:tc>
        <w:tc>
          <w:tcPr>
            <w:tcW w:w="582" w:type="pct"/>
            <w:vAlign w:val="center"/>
          </w:tcPr>
          <w:p>
            <w:pPr>
              <w:pStyle w:val="44"/>
              <w:rPr>
                <w:bCs w:val="0"/>
                <w:color w:val="auto"/>
              </w:rPr>
            </w:pPr>
            <w:r>
              <w:rPr>
                <w:rFonts w:hint="eastAsia"/>
                <w:bCs w:val="0"/>
                <w:color w:val="auto"/>
              </w:rPr>
              <w:t>2</w:t>
            </w:r>
            <w:r>
              <w:rPr>
                <w:bCs w:val="0"/>
                <w:color w:val="auto"/>
              </w:rPr>
              <w:t>8</w:t>
            </w:r>
          </w:p>
        </w:tc>
        <w:tc>
          <w:tcPr>
            <w:tcW w:w="582" w:type="pct"/>
            <w:vMerge w:val="continue"/>
            <w:vAlign w:val="center"/>
          </w:tcPr>
          <w:p>
            <w:pPr>
              <w:pStyle w:val="44"/>
              <w:rPr>
                <w:b/>
                <w:bCs w:val="0"/>
                <w:color w:val="auto"/>
              </w:rPr>
            </w:pPr>
          </w:p>
        </w:tc>
        <w:tc>
          <w:tcPr>
            <w:tcW w:w="594" w:type="pct"/>
            <w:vAlign w:val="center"/>
          </w:tcPr>
          <w:p>
            <w:pPr>
              <w:pStyle w:val="44"/>
              <w:rPr>
                <w:bCs w:val="0"/>
                <w:color w:val="auto"/>
              </w:rPr>
            </w:pPr>
            <w:r>
              <w:rPr>
                <w:rFonts w:hint="eastAsia"/>
                <w:bCs w:val="0"/>
                <w:color w:val="auto"/>
              </w:rPr>
              <w:t>1</w:t>
            </w:r>
            <w:r>
              <w:rPr>
                <w:bCs w:val="0"/>
                <w:color w:val="auto"/>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2" w:type="pct"/>
            <w:vMerge w:val="continue"/>
            <w:vAlign w:val="center"/>
          </w:tcPr>
          <w:p>
            <w:pPr>
              <w:pStyle w:val="44"/>
              <w:rPr>
                <w:b/>
                <w:bCs w:val="0"/>
                <w:color w:val="auto"/>
              </w:rPr>
            </w:pPr>
          </w:p>
        </w:tc>
        <w:tc>
          <w:tcPr>
            <w:tcW w:w="854" w:type="pct"/>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582" w:type="pct"/>
            <w:vMerge w:val="continue"/>
            <w:vAlign w:val="center"/>
          </w:tcPr>
          <w:p>
            <w:pPr>
              <w:pStyle w:val="44"/>
              <w:rPr>
                <w:b/>
                <w:bCs w:val="0"/>
                <w:color w:val="auto"/>
              </w:rPr>
            </w:pPr>
          </w:p>
        </w:tc>
        <w:tc>
          <w:tcPr>
            <w:tcW w:w="582" w:type="pct"/>
            <w:vAlign w:val="center"/>
          </w:tcPr>
          <w:p>
            <w:pPr>
              <w:pStyle w:val="44"/>
              <w:rPr>
                <w:bCs w:val="0"/>
                <w:color w:val="auto"/>
              </w:rPr>
            </w:pPr>
            <w:r>
              <w:rPr>
                <w:rFonts w:hint="eastAsia"/>
                <w:bCs w:val="0"/>
                <w:color w:val="auto"/>
              </w:rPr>
              <w:t>8</w:t>
            </w:r>
            <w:r>
              <w:rPr>
                <w:bCs w:val="0"/>
                <w:color w:val="auto"/>
              </w:rPr>
              <w:t>2</w:t>
            </w:r>
          </w:p>
        </w:tc>
        <w:tc>
          <w:tcPr>
            <w:tcW w:w="582" w:type="pct"/>
            <w:vAlign w:val="center"/>
          </w:tcPr>
          <w:p>
            <w:pPr>
              <w:pStyle w:val="44"/>
              <w:rPr>
                <w:bCs w:val="0"/>
                <w:color w:val="auto"/>
              </w:rPr>
            </w:pPr>
            <w:r>
              <w:rPr>
                <w:rFonts w:hint="eastAsia"/>
                <w:bCs w:val="0"/>
                <w:color w:val="auto"/>
              </w:rPr>
              <w:t>4</w:t>
            </w:r>
            <w:r>
              <w:rPr>
                <w:bCs w:val="0"/>
                <w:color w:val="auto"/>
              </w:rPr>
              <w:t>.5</w:t>
            </w:r>
          </w:p>
        </w:tc>
        <w:tc>
          <w:tcPr>
            <w:tcW w:w="582" w:type="pct"/>
            <w:vAlign w:val="center"/>
          </w:tcPr>
          <w:p>
            <w:pPr>
              <w:pStyle w:val="44"/>
              <w:rPr>
                <w:bCs w:val="0"/>
                <w:color w:val="auto"/>
              </w:rPr>
            </w:pPr>
            <w:r>
              <w:rPr>
                <w:rFonts w:hint="eastAsia"/>
                <w:bCs w:val="0"/>
                <w:color w:val="auto"/>
              </w:rPr>
              <w:t>2</w:t>
            </w:r>
            <w:r>
              <w:rPr>
                <w:bCs w:val="0"/>
                <w:color w:val="auto"/>
              </w:rPr>
              <w:t>9</w:t>
            </w:r>
          </w:p>
        </w:tc>
        <w:tc>
          <w:tcPr>
            <w:tcW w:w="582" w:type="pct"/>
            <w:vMerge w:val="continue"/>
            <w:vAlign w:val="center"/>
          </w:tcPr>
          <w:p>
            <w:pPr>
              <w:pStyle w:val="44"/>
              <w:rPr>
                <w:b/>
                <w:bCs w:val="0"/>
                <w:color w:val="auto"/>
              </w:rPr>
            </w:pPr>
          </w:p>
        </w:tc>
        <w:tc>
          <w:tcPr>
            <w:tcW w:w="594" w:type="pct"/>
            <w:vAlign w:val="center"/>
          </w:tcPr>
          <w:p>
            <w:pPr>
              <w:pStyle w:val="44"/>
              <w:rPr>
                <w:bCs w:val="0"/>
                <w:color w:val="auto"/>
              </w:rPr>
            </w:pPr>
            <w:r>
              <w:rPr>
                <w:rFonts w:hint="eastAsia"/>
                <w:bCs w:val="0"/>
                <w:color w:val="auto"/>
              </w:rPr>
              <w:t>1</w:t>
            </w:r>
            <w:r>
              <w:rPr>
                <w:bCs w:val="0"/>
                <w:color w:val="auto"/>
              </w:rPr>
              <w:t>00.3</w:t>
            </w:r>
          </w:p>
        </w:tc>
      </w:tr>
    </w:tbl>
    <w:p>
      <w:pPr>
        <w:pStyle w:val="39"/>
        <w:spacing w:before="156" w:beforeLines="50" w:after="31"/>
        <w:rPr>
          <w:color w:val="auto"/>
        </w:rPr>
      </w:pPr>
      <w:r>
        <w:rPr>
          <w:color w:val="auto"/>
        </w:rPr>
        <w:t xml:space="preserve">表9-7 </w:t>
      </w:r>
      <w:r>
        <w:rPr>
          <w:rFonts w:hint="eastAsia"/>
          <w:color w:val="auto"/>
        </w:rPr>
        <w:t>无组织废气</w:t>
      </w:r>
      <w:r>
        <w:rPr>
          <w:color w:val="auto"/>
        </w:rPr>
        <w:t>监测结果</w:t>
      </w:r>
    </w:p>
    <w:tbl>
      <w:tblPr>
        <w:tblStyle w:val="22"/>
        <w:tblW w:w="87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134"/>
        <w:gridCol w:w="1134"/>
        <w:gridCol w:w="1276"/>
        <w:gridCol w:w="1276"/>
        <w:gridCol w:w="1275"/>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418" w:type="dxa"/>
            <w:vAlign w:val="center"/>
          </w:tcPr>
          <w:p>
            <w:pPr>
              <w:pStyle w:val="44"/>
              <w:rPr>
                <w:b/>
                <w:bCs w:val="0"/>
                <w:color w:val="auto"/>
              </w:rPr>
            </w:pPr>
            <w:r>
              <w:rPr>
                <w:b/>
                <w:bCs w:val="0"/>
                <w:color w:val="auto"/>
              </w:rPr>
              <w:t>监测点位</w:t>
            </w:r>
          </w:p>
        </w:tc>
        <w:tc>
          <w:tcPr>
            <w:tcW w:w="1134" w:type="dxa"/>
            <w:vAlign w:val="center"/>
          </w:tcPr>
          <w:p>
            <w:pPr>
              <w:pStyle w:val="44"/>
              <w:rPr>
                <w:b/>
                <w:bCs w:val="0"/>
                <w:color w:val="auto"/>
              </w:rPr>
            </w:pPr>
            <w:r>
              <w:rPr>
                <w:rFonts w:hint="eastAsia"/>
                <w:b/>
                <w:bCs w:val="0"/>
                <w:color w:val="auto"/>
              </w:rPr>
              <w:t>监测项目</w:t>
            </w:r>
          </w:p>
        </w:tc>
        <w:tc>
          <w:tcPr>
            <w:tcW w:w="2410" w:type="dxa"/>
            <w:gridSpan w:val="2"/>
            <w:vAlign w:val="center"/>
          </w:tcPr>
          <w:p>
            <w:pPr>
              <w:pStyle w:val="44"/>
              <w:rPr>
                <w:b/>
                <w:bCs w:val="0"/>
                <w:color w:val="auto"/>
              </w:rPr>
            </w:pPr>
            <w:r>
              <w:rPr>
                <w:b/>
                <w:bCs w:val="0"/>
                <w:color w:val="auto"/>
              </w:rPr>
              <w:t>监测时间</w:t>
            </w:r>
          </w:p>
        </w:tc>
        <w:tc>
          <w:tcPr>
            <w:tcW w:w="1276" w:type="dxa"/>
            <w:vAlign w:val="center"/>
          </w:tcPr>
          <w:p>
            <w:pPr>
              <w:pStyle w:val="44"/>
              <w:rPr>
                <w:b/>
                <w:bCs w:val="0"/>
                <w:color w:val="auto"/>
              </w:rPr>
            </w:pPr>
            <w:r>
              <w:rPr>
                <w:b/>
                <w:bCs w:val="0"/>
                <w:color w:val="auto"/>
              </w:rPr>
              <w:t>排放浓度</w:t>
            </w:r>
            <w:r>
              <w:rPr>
                <w:rFonts w:hint="eastAsia"/>
                <w:b/>
                <w:bCs w:val="0"/>
                <w:color w:val="auto"/>
              </w:rPr>
              <w:t>（mg/m</w:t>
            </w:r>
            <w:r>
              <w:rPr>
                <w:rFonts w:hint="eastAsia"/>
                <w:b/>
                <w:bCs w:val="0"/>
                <w:color w:val="auto"/>
                <w:vertAlign w:val="superscript"/>
              </w:rPr>
              <w:t>3</w:t>
            </w:r>
            <w:r>
              <w:rPr>
                <w:rFonts w:hint="eastAsia"/>
                <w:b/>
                <w:bCs w:val="0"/>
                <w:color w:val="auto"/>
              </w:rPr>
              <w:t>）</w:t>
            </w:r>
          </w:p>
        </w:tc>
        <w:tc>
          <w:tcPr>
            <w:tcW w:w="1275" w:type="dxa"/>
            <w:vAlign w:val="center"/>
          </w:tcPr>
          <w:p>
            <w:pPr>
              <w:pStyle w:val="44"/>
              <w:rPr>
                <w:b/>
                <w:bCs w:val="0"/>
                <w:color w:val="auto"/>
              </w:rPr>
            </w:pPr>
            <w:r>
              <w:rPr>
                <w:b/>
                <w:bCs w:val="0"/>
                <w:color w:val="auto"/>
              </w:rPr>
              <w:t>执行标准</w:t>
            </w:r>
            <w:r>
              <w:rPr>
                <w:rFonts w:hint="eastAsia"/>
                <w:b/>
                <w:bCs w:val="0"/>
                <w:color w:val="auto"/>
              </w:rPr>
              <w:t>（mg/m</w:t>
            </w:r>
            <w:r>
              <w:rPr>
                <w:rFonts w:hint="eastAsia"/>
                <w:b/>
                <w:bCs w:val="0"/>
                <w:color w:val="auto"/>
                <w:vertAlign w:val="superscript"/>
              </w:rPr>
              <w:t>3</w:t>
            </w:r>
            <w:r>
              <w:rPr>
                <w:rFonts w:hint="eastAsia"/>
                <w:b/>
                <w:bCs w:val="0"/>
                <w:color w:val="auto"/>
              </w:rPr>
              <w:t>）</w:t>
            </w:r>
          </w:p>
        </w:tc>
        <w:tc>
          <w:tcPr>
            <w:tcW w:w="1203" w:type="dxa"/>
            <w:vAlign w:val="center"/>
          </w:tcPr>
          <w:p>
            <w:pPr>
              <w:pStyle w:val="44"/>
              <w:rPr>
                <w:b/>
                <w:bCs w:val="0"/>
                <w:color w:val="auto"/>
              </w:rPr>
            </w:pPr>
            <w:r>
              <w:rPr>
                <w:b/>
                <w:bCs w:val="0"/>
                <w:color w:val="auto"/>
              </w:rPr>
              <w:t>达标</w:t>
            </w:r>
            <w:r>
              <w:rPr>
                <w:rFonts w:hint="eastAsia"/>
                <w:b/>
                <w:bCs w:val="0"/>
                <w:color w:val="auto"/>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上风向</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.055</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.062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.025</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.075</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下风向1#</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.220</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.197</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.060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.152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下风向2#</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.120</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.093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.222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.187</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下风向3</w:t>
            </w:r>
            <w:r>
              <w:rPr>
                <w:bCs w:val="0"/>
                <w:color w:val="auto"/>
              </w:rPr>
              <w:t>#</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.047</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.133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197</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.155</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restart"/>
            <w:vAlign w:val="center"/>
          </w:tcPr>
          <w:p>
            <w:pPr>
              <w:pStyle w:val="44"/>
              <w:rPr>
                <w:bCs w:val="0"/>
                <w:color w:val="auto"/>
              </w:rPr>
            </w:pPr>
            <w:r>
              <w:rPr>
                <w:bCs w:val="0"/>
                <w:color w:val="auto"/>
              </w:rPr>
              <w:t>上风向</w:t>
            </w:r>
          </w:p>
        </w:tc>
        <w:tc>
          <w:tcPr>
            <w:tcW w:w="1134" w:type="dxa"/>
            <w:vMerge w:val="restart"/>
            <w:vAlign w:val="center"/>
          </w:tcPr>
          <w:p>
            <w:pPr>
              <w:pStyle w:val="44"/>
              <w:rPr>
                <w:b/>
                <w:bCs w:val="0"/>
                <w:color w:val="auto"/>
              </w:rPr>
            </w:pPr>
            <w:r>
              <w:rPr>
                <w:rFonts w:hint="eastAsia"/>
                <w:bCs w:val="0"/>
                <w:color w:val="auto"/>
              </w:rPr>
              <w:t>非甲烷</w:t>
            </w:r>
          </w:p>
          <w:p>
            <w:pPr>
              <w:pStyle w:val="44"/>
              <w:rPr>
                <w:b/>
                <w:bCs w:val="0"/>
                <w:color w:val="auto"/>
              </w:rPr>
            </w:pPr>
            <w:r>
              <w:rPr>
                <w:rFonts w:hint="eastAsia"/>
                <w:bCs w:val="0"/>
                <w:color w:val="auto"/>
              </w:rPr>
              <w:t>总烃</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40</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.34</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.33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25</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下风向1#</w:t>
            </w:r>
          </w:p>
        </w:tc>
        <w:tc>
          <w:tcPr>
            <w:tcW w:w="1134" w:type="dxa"/>
            <w:vMerge w:val="restart"/>
            <w:vAlign w:val="center"/>
          </w:tcPr>
          <w:p>
            <w:pPr>
              <w:pStyle w:val="44"/>
              <w:rPr>
                <w:b/>
                <w:bCs w:val="0"/>
                <w:color w:val="auto"/>
              </w:rPr>
            </w:pPr>
            <w:r>
              <w:rPr>
                <w:rFonts w:hint="eastAsia"/>
                <w:bCs w:val="0"/>
                <w:color w:val="auto"/>
              </w:rPr>
              <w:t>非甲烷</w:t>
            </w:r>
          </w:p>
          <w:p>
            <w:pPr>
              <w:pStyle w:val="44"/>
              <w:rPr>
                <w:b/>
                <w:bCs w:val="0"/>
                <w:color w:val="auto"/>
              </w:rPr>
            </w:pPr>
            <w:r>
              <w:rPr>
                <w:rFonts w:hint="eastAsia"/>
                <w:bCs w:val="0"/>
                <w:color w:val="auto"/>
              </w:rPr>
              <w:t>总烃</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.59</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.56</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.59</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61</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Cs w:val="0"/>
                <w:color w:val="auto"/>
              </w:rPr>
            </w:pPr>
            <w:r>
              <w:rPr>
                <w:rFonts w:hint="eastAsia"/>
                <w:bCs w:val="0"/>
                <w:color w:val="auto"/>
              </w:rPr>
              <w:t>下风向2#</w:t>
            </w:r>
            <w:r>
              <w:rPr>
                <w:rFonts w:hint="eastAsia"/>
                <w:color w:val="auto"/>
              </w:rPr>
              <w:t>（厂区内无组织排放监控点）</w:t>
            </w:r>
          </w:p>
        </w:tc>
        <w:tc>
          <w:tcPr>
            <w:tcW w:w="1134" w:type="dxa"/>
            <w:vMerge w:val="restart"/>
            <w:vAlign w:val="center"/>
          </w:tcPr>
          <w:p>
            <w:pPr>
              <w:pStyle w:val="44"/>
              <w:rPr>
                <w:b/>
                <w:bCs w:val="0"/>
                <w:color w:val="auto"/>
              </w:rPr>
            </w:pPr>
            <w:r>
              <w:rPr>
                <w:rFonts w:hint="eastAsia"/>
                <w:bCs w:val="0"/>
                <w:color w:val="auto"/>
              </w:rPr>
              <w:t>非甲烷</w:t>
            </w:r>
          </w:p>
          <w:p>
            <w:pPr>
              <w:pStyle w:val="44"/>
              <w:rPr>
                <w:b/>
                <w:bCs w:val="0"/>
                <w:color w:val="auto"/>
              </w:rPr>
            </w:pPr>
            <w:r>
              <w:rPr>
                <w:rFonts w:hint="eastAsia"/>
                <w:bCs w:val="0"/>
                <w:color w:val="auto"/>
              </w:rPr>
              <w:t>总烃</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.49</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.62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.61</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.46</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color w:val="auto"/>
              </w:rPr>
            </w:pPr>
            <w:r>
              <w:rPr>
                <w:rFonts w:hint="eastAsia"/>
                <w:bCs w:val="0"/>
                <w:color w:val="auto"/>
              </w:rPr>
              <w:t>下风向3#</w:t>
            </w:r>
          </w:p>
        </w:tc>
        <w:tc>
          <w:tcPr>
            <w:tcW w:w="1134" w:type="dxa"/>
            <w:vMerge w:val="restart"/>
            <w:vAlign w:val="center"/>
          </w:tcPr>
          <w:p>
            <w:pPr>
              <w:pStyle w:val="44"/>
              <w:rPr>
                <w:b/>
                <w:bCs w:val="0"/>
                <w:color w:val="auto"/>
              </w:rPr>
            </w:pPr>
            <w:r>
              <w:rPr>
                <w:rFonts w:hint="eastAsia"/>
                <w:bCs w:val="0"/>
                <w:color w:val="auto"/>
              </w:rPr>
              <w:t>非甲烷</w:t>
            </w:r>
          </w:p>
          <w:p>
            <w:pPr>
              <w:pStyle w:val="44"/>
              <w:rPr>
                <w:b/>
                <w:bCs w:val="0"/>
                <w:color w:val="auto"/>
              </w:rPr>
            </w:pPr>
            <w:r>
              <w:rPr>
                <w:rFonts w:hint="eastAsia"/>
                <w:bCs w:val="0"/>
                <w:color w:val="auto"/>
              </w:rPr>
              <w:t>总烃</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76</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66</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.46</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.61</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上风向</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下风向1#</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下风向2#</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下风向3#</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bCs w:val="0"/>
                <w:color w:val="auto"/>
              </w:rPr>
              <w:t>2022.9.2</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tcBorders>
              <w:bottom w:val="single" w:color="auto" w:sz="4" w:space="0"/>
            </w:tcBorders>
            <w:vAlign w:val="center"/>
          </w:tcPr>
          <w:p>
            <w:pPr>
              <w:pStyle w:val="44"/>
              <w:rPr>
                <w:b/>
                <w:bCs w:val="0"/>
                <w:color w:val="auto"/>
              </w:rPr>
            </w:pPr>
          </w:p>
        </w:tc>
        <w:tc>
          <w:tcPr>
            <w:tcW w:w="1134" w:type="dxa"/>
            <w:vMerge w:val="continue"/>
            <w:tcBorders>
              <w:bottom w:val="single" w:color="auto" w:sz="4" w:space="0"/>
            </w:tcBorders>
            <w:vAlign w:val="center"/>
          </w:tcPr>
          <w:p>
            <w:pPr>
              <w:pStyle w:val="44"/>
              <w:rPr>
                <w:b/>
                <w:bCs w:val="0"/>
                <w:color w:val="auto"/>
              </w:rPr>
            </w:pPr>
          </w:p>
        </w:tc>
        <w:tc>
          <w:tcPr>
            <w:tcW w:w="1134" w:type="dxa"/>
            <w:vMerge w:val="continue"/>
            <w:tcBorders>
              <w:bottom w:val="single" w:color="auto" w:sz="4" w:space="0"/>
            </w:tcBorders>
            <w:vAlign w:val="center"/>
          </w:tcPr>
          <w:p>
            <w:pPr>
              <w:pStyle w:val="44"/>
              <w:rPr>
                <w:b/>
                <w:bCs w:val="0"/>
                <w:color w:val="auto"/>
              </w:rPr>
            </w:pPr>
          </w:p>
        </w:tc>
        <w:tc>
          <w:tcPr>
            <w:tcW w:w="1276" w:type="dxa"/>
            <w:tcBorders>
              <w:bottom w:val="single" w:color="auto" w:sz="4" w:space="0"/>
            </w:tcBorders>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00</w:t>
            </w:r>
          </w:p>
        </w:tc>
        <w:tc>
          <w:tcPr>
            <w:tcW w:w="1276" w:type="dxa"/>
            <w:tcBorders>
              <w:bottom w:val="single" w:color="auto" w:sz="4" w:space="0"/>
            </w:tcBorders>
            <w:vAlign w:val="center"/>
          </w:tcPr>
          <w:p>
            <w:pPr>
              <w:pStyle w:val="44"/>
              <w:rPr>
                <w:b/>
                <w:bCs w:val="0"/>
                <w:color w:val="auto"/>
              </w:rPr>
            </w:pPr>
            <w:r>
              <w:rPr>
                <w:rFonts w:hint="eastAsia"/>
                <w:bCs w:val="0"/>
                <w:color w:val="auto"/>
              </w:rPr>
              <w:t>＜1</w:t>
            </w:r>
            <w:r>
              <w:rPr>
                <w:bCs w:val="0"/>
                <w:color w:val="auto"/>
              </w:rPr>
              <w:t>0</w:t>
            </w:r>
          </w:p>
        </w:tc>
        <w:tc>
          <w:tcPr>
            <w:tcW w:w="1275" w:type="dxa"/>
            <w:vMerge w:val="continue"/>
            <w:tcBorders>
              <w:bottom w:val="single" w:color="auto" w:sz="4" w:space="0"/>
            </w:tcBorders>
            <w:vAlign w:val="center"/>
          </w:tcPr>
          <w:p>
            <w:pPr>
              <w:pStyle w:val="44"/>
              <w:rPr>
                <w:b/>
                <w:bCs w:val="0"/>
                <w:color w:val="auto"/>
              </w:rPr>
            </w:pPr>
          </w:p>
        </w:tc>
        <w:tc>
          <w:tcPr>
            <w:tcW w:w="1203" w:type="dxa"/>
            <w:tcBorders>
              <w:bottom w:val="single" w:color="auto" w:sz="4" w:space="0"/>
            </w:tcBorders>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上风向</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.057</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.072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.037</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.065</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下风向1#</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.207</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.180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080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.113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下风向2#</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.162</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.193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.138</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.087</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下风向3#</w:t>
            </w:r>
          </w:p>
        </w:tc>
        <w:tc>
          <w:tcPr>
            <w:tcW w:w="1134" w:type="dxa"/>
            <w:vMerge w:val="restart"/>
            <w:vAlign w:val="center"/>
          </w:tcPr>
          <w:p>
            <w:pPr>
              <w:pStyle w:val="44"/>
              <w:rPr>
                <w:b/>
                <w:bCs w:val="0"/>
                <w:color w:val="auto"/>
              </w:rPr>
            </w:pPr>
            <w:r>
              <w:rPr>
                <w:rFonts w:hint="eastAsia"/>
                <w:bCs w:val="0"/>
                <w:color w:val="auto"/>
              </w:rPr>
              <w:t>总悬浮</w:t>
            </w:r>
          </w:p>
          <w:p>
            <w:pPr>
              <w:pStyle w:val="44"/>
              <w:rPr>
                <w:b/>
                <w:bCs w:val="0"/>
                <w:color w:val="auto"/>
              </w:rPr>
            </w:pPr>
            <w:r>
              <w:rPr>
                <w:rFonts w:hint="eastAsia"/>
                <w:bCs w:val="0"/>
                <w:color w:val="auto"/>
              </w:rPr>
              <w:t>颗粒物</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r>
              <w:rPr>
                <w:bCs w:val="0"/>
                <w:color w:val="auto"/>
              </w:rPr>
              <w:t>-10</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.107</w:t>
            </w:r>
          </w:p>
        </w:tc>
        <w:tc>
          <w:tcPr>
            <w:tcW w:w="1275" w:type="dxa"/>
            <w:vMerge w:val="restart"/>
            <w:vAlign w:val="center"/>
          </w:tcPr>
          <w:p>
            <w:pPr>
              <w:pStyle w:val="44"/>
              <w:rPr>
                <w:b/>
                <w:bCs w:val="0"/>
                <w:color w:val="auto"/>
              </w:rPr>
            </w:pPr>
            <w:r>
              <w:rPr>
                <w:rFonts w:hint="eastAsia"/>
                <w:bCs w:val="0"/>
                <w:color w:val="auto"/>
              </w:rPr>
              <w:t>1</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.182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2</w:t>
            </w:r>
            <w:r>
              <w:rPr>
                <w:rFonts w:hint="eastAsia"/>
                <w:bCs w:val="0"/>
                <w:color w:val="auto"/>
              </w:rPr>
              <w:t>:</w:t>
            </w:r>
            <w:r>
              <w:rPr>
                <w:bCs w:val="0"/>
                <w:color w:val="auto"/>
              </w:rPr>
              <w:t>0</w:t>
            </w:r>
            <w:r>
              <w:rPr>
                <w:rFonts w:hint="eastAsia"/>
                <w:bCs w:val="0"/>
                <w:color w:val="auto"/>
              </w:rPr>
              <w:t>0</w:t>
            </w:r>
            <w:r>
              <w:rPr>
                <w:bCs w:val="0"/>
                <w:color w:val="auto"/>
              </w:rPr>
              <w:t>-13</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.082</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30-</w:t>
            </w:r>
            <w:r>
              <w:rPr>
                <w:rFonts w:hint="eastAsia"/>
                <w:bCs w:val="0"/>
                <w:color w:val="auto"/>
              </w:rPr>
              <w:t>1</w:t>
            </w:r>
            <w:r>
              <w:rPr>
                <w:bCs w:val="0"/>
                <w:color w:val="auto"/>
              </w:rPr>
              <w:t>4</w:t>
            </w:r>
            <w:r>
              <w:rPr>
                <w:rFonts w:hint="eastAsia"/>
                <w:bCs w:val="0"/>
                <w:color w:val="auto"/>
              </w:rPr>
              <w:t>:</w:t>
            </w:r>
            <w:r>
              <w:rPr>
                <w:bCs w:val="0"/>
                <w:color w:val="auto"/>
              </w:rPr>
              <w:t>30</w:t>
            </w:r>
          </w:p>
        </w:tc>
        <w:tc>
          <w:tcPr>
            <w:tcW w:w="1276" w:type="dxa"/>
            <w:vAlign w:val="center"/>
          </w:tcPr>
          <w:p>
            <w:pPr>
              <w:pStyle w:val="44"/>
              <w:rPr>
                <w:bCs w:val="0"/>
                <w:color w:val="auto"/>
              </w:rPr>
            </w:pPr>
            <w:r>
              <w:rPr>
                <w:rFonts w:hint="eastAsia"/>
                <w:bCs w:val="0"/>
                <w:color w:val="auto"/>
              </w:rPr>
              <w:t>0</w:t>
            </w:r>
            <w:r>
              <w:rPr>
                <w:bCs w:val="0"/>
                <w:color w:val="auto"/>
              </w:rPr>
              <w:t>.143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上风向</w:t>
            </w:r>
          </w:p>
        </w:tc>
        <w:tc>
          <w:tcPr>
            <w:tcW w:w="1134" w:type="dxa"/>
            <w:vMerge w:val="restart"/>
            <w:vAlign w:val="center"/>
          </w:tcPr>
          <w:p>
            <w:pPr>
              <w:pStyle w:val="44"/>
              <w:rPr>
                <w:b/>
                <w:bCs w:val="0"/>
                <w:color w:val="auto"/>
              </w:rPr>
            </w:pPr>
            <w:r>
              <w:rPr>
                <w:rFonts w:hint="eastAsia"/>
                <w:bCs w:val="0"/>
                <w:color w:val="auto"/>
              </w:rPr>
              <w:t>非甲烷总烃</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.42</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.43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.29</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.34</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下风向1#</w:t>
            </w:r>
          </w:p>
        </w:tc>
        <w:tc>
          <w:tcPr>
            <w:tcW w:w="1134" w:type="dxa"/>
            <w:vMerge w:val="restart"/>
            <w:vAlign w:val="center"/>
          </w:tcPr>
          <w:p>
            <w:pPr>
              <w:pStyle w:val="44"/>
              <w:rPr>
                <w:b/>
                <w:bCs w:val="0"/>
                <w:color w:val="auto"/>
              </w:rPr>
            </w:pPr>
            <w:r>
              <w:rPr>
                <w:rFonts w:hint="eastAsia"/>
                <w:bCs w:val="0"/>
                <w:color w:val="auto"/>
              </w:rPr>
              <w:t>非甲烷总烃</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.52</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.48</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.61</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.66</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Cs w:val="0"/>
                <w:color w:val="auto"/>
              </w:rPr>
            </w:pPr>
            <w:r>
              <w:rPr>
                <w:rFonts w:hint="eastAsia"/>
                <w:bCs w:val="0"/>
                <w:color w:val="auto"/>
              </w:rPr>
              <w:t>下风向2#（厂区内无组织排放监控点）</w:t>
            </w:r>
          </w:p>
        </w:tc>
        <w:tc>
          <w:tcPr>
            <w:tcW w:w="1134" w:type="dxa"/>
            <w:vMerge w:val="restart"/>
            <w:vAlign w:val="center"/>
          </w:tcPr>
          <w:p>
            <w:pPr>
              <w:pStyle w:val="44"/>
              <w:rPr>
                <w:b/>
                <w:bCs w:val="0"/>
                <w:color w:val="auto"/>
              </w:rPr>
            </w:pPr>
            <w:r>
              <w:rPr>
                <w:rFonts w:hint="eastAsia"/>
                <w:bCs w:val="0"/>
                <w:color w:val="auto"/>
              </w:rPr>
              <w:t>非甲烷总烃</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.65</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.56</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.50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.54</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下风向3#</w:t>
            </w:r>
          </w:p>
        </w:tc>
        <w:tc>
          <w:tcPr>
            <w:tcW w:w="1134" w:type="dxa"/>
            <w:vMerge w:val="restart"/>
            <w:vAlign w:val="center"/>
          </w:tcPr>
          <w:p>
            <w:pPr>
              <w:pStyle w:val="44"/>
              <w:rPr>
                <w:b/>
                <w:bCs w:val="0"/>
                <w:color w:val="auto"/>
              </w:rPr>
            </w:pPr>
            <w:r>
              <w:rPr>
                <w:rFonts w:hint="eastAsia"/>
                <w:bCs w:val="0"/>
                <w:color w:val="auto"/>
              </w:rPr>
              <w:t>非甲烷总烃</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.55</w:t>
            </w:r>
          </w:p>
        </w:tc>
        <w:tc>
          <w:tcPr>
            <w:tcW w:w="1275" w:type="dxa"/>
            <w:vMerge w:val="restart"/>
            <w:vAlign w:val="center"/>
          </w:tcPr>
          <w:p>
            <w:pPr>
              <w:pStyle w:val="44"/>
              <w:rPr>
                <w:b/>
                <w:bCs w:val="0"/>
                <w:color w:val="auto"/>
              </w:rPr>
            </w:pPr>
            <w:r>
              <w:rPr>
                <w:bCs w:val="0"/>
                <w:color w:val="auto"/>
              </w:rPr>
              <w:t>4.0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.63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Cs w:val="0"/>
                <w:color w:val="auto"/>
              </w:rPr>
            </w:pPr>
            <w:r>
              <w:rPr>
                <w:rFonts w:hint="eastAsia"/>
                <w:bCs w:val="0"/>
                <w:color w:val="auto"/>
              </w:rPr>
              <w:t>0</w:t>
            </w:r>
            <w:r>
              <w:rPr>
                <w:bCs w:val="0"/>
                <w:color w:val="auto"/>
              </w:rPr>
              <w:t>.64</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Cs w:val="0"/>
                <w:color w:val="auto"/>
              </w:rPr>
            </w:pPr>
            <w:r>
              <w:rPr>
                <w:rFonts w:hint="eastAsia"/>
                <w:bCs w:val="0"/>
                <w:color w:val="auto"/>
              </w:rPr>
              <w:t>0</w:t>
            </w:r>
            <w:r>
              <w:rPr>
                <w:bCs w:val="0"/>
                <w:color w:val="auto"/>
              </w:rPr>
              <w:t>.47</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上风向</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下风向1#</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下风向2#</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restart"/>
            <w:vAlign w:val="center"/>
          </w:tcPr>
          <w:p>
            <w:pPr>
              <w:pStyle w:val="44"/>
              <w:rPr>
                <w:b/>
                <w:bCs w:val="0"/>
                <w:color w:val="auto"/>
              </w:rPr>
            </w:pPr>
            <w:r>
              <w:rPr>
                <w:rFonts w:hint="eastAsia"/>
                <w:bCs w:val="0"/>
                <w:color w:val="auto"/>
              </w:rPr>
              <w:t>下风向3#</w:t>
            </w:r>
          </w:p>
        </w:tc>
        <w:tc>
          <w:tcPr>
            <w:tcW w:w="1134" w:type="dxa"/>
            <w:vMerge w:val="restart"/>
            <w:vAlign w:val="center"/>
          </w:tcPr>
          <w:p>
            <w:pPr>
              <w:pStyle w:val="44"/>
              <w:rPr>
                <w:b/>
                <w:bCs w:val="0"/>
                <w:color w:val="auto"/>
              </w:rPr>
            </w:pPr>
            <w:r>
              <w:rPr>
                <w:rFonts w:hint="eastAsia"/>
                <w:bCs w:val="0"/>
                <w:color w:val="auto"/>
              </w:rPr>
              <w:t>臭气浓度(无量纲)</w:t>
            </w:r>
          </w:p>
        </w:tc>
        <w:tc>
          <w:tcPr>
            <w:tcW w:w="1134" w:type="dxa"/>
            <w:vMerge w:val="restart"/>
            <w:vAlign w:val="center"/>
          </w:tcPr>
          <w:p>
            <w:pPr>
              <w:pStyle w:val="44"/>
              <w:rPr>
                <w:b/>
                <w:bCs w:val="0"/>
                <w:color w:val="auto"/>
              </w:rPr>
            </w:pPr>
            <w:r>
              <w:rPr>
                <w:rFonts w:hint="eastAsia"/>
                <w:bCs w:val="0"/>
                <w:color w:val="auto"/>
              </w:rPr>
              <w:t>2022.9.3</w:t>
            </w:r>
          </w:p>
        </w:tc>
        <w:tc>
          <w:tcPr>
            <w:tcW w:w="1276" w:type="dxa"/>
            <w:vAlign w:val="center"/>
          </w:tcPr>
          <w:p>
            <w:pPr>
              <w:pStyle w:val="44"/>
              <w:rPr>
                <w:b/>
                <w:bCs w:val="0"/>
                <w:color w:val="auto"/>
              </w:rPr>
            </w:pPr>
            <w:r>
              <w:rPr>
                <w:bCs w:val="0"/>
                <w:color w:val="auto"/>
              </w:rPr>
              <w:t>09</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restart"/>
            <w:vAlign w:val="center"/>
          </w:tcPr>
          <w:p>
            <w:pPr>
              <w:pStyle w:val="44"/>
              <w:rPr>
                <w:b/>
                <w:bCs w:val="0"/>
                <w:color w:val="auto"/>
              </w:rPr>
            </w:pPr>
            <w:r>
              <w:rPr>
                <w:rFonts w:hint="eastAsia"/>
                <w:bCs w:val="0"/>
                <w:color w:val="auto"/>
              </w:rPr>
              <w:t>2</w:t>
            </w:r>
            <w:r>
              <w:rPr>
                <w:bCs w:val="0"/>
                <w:color w:val="auto"/>
              </w:rPr>
              <w:t>0</w:t>
            </w: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1</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bCs w:val="0"/>
                <w:color w:val="auto"/>
              </w:rPr>
              <w:t>12</w:t>
            </w:r>
            <w:r>
              <w:rPr>
                <w:rFonts w:hint="eastAsia"/>
                <w:bCs w:val="0"/>
                <w:color w:val="auto"/>
              </w:rPr>
              <w:t>:</w:t>
            </w:r>
            <w:r>
              <w:rPr>
                <w:bCs w:val="0"/>
                <w:color w:val="auto"/>
              </w:rPr>
              <w:t>00</w:t>
            </w:r>
          </w:p>
        </w:tc>
        <w:tc>
          <w:tcPr>
            <w:tcW w:w="1276" w:type="dxa"/>
            <w:vAlign w:val="center"/>
          </w:tcPr>
          <w:p>
            <w:pPr>
              <w:pStyle w:val="44"/>
              <w:rPr>
                <w:b/>
                <w:bCs w:val="0"/>
                <w:color w:val="auto"/>
              </w:rPr>
            </w:pPr>
            <w:r>
              <w:rPr>
                <w:rFonts w:hint="eastAsia"/>
                <w:bCs w:val="0"/>
                <w:color w:val="auto"/>
              </w:rPr>
              <w:t>＜1</w:t>
            </w:r>
            <w:r>
              <w:rPr>
                <w:bCs w:val="0"/>
                <w:color w:val="auto"/>
              </w:rPr>
              <w:t>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0</w:t>
            </w:r>
            <w:r>
              <w:rPr>
                <w:rFonts w:hint="eastAsia"/>
                <w:bCs w:val="0"/>
                <w:color w:val="auto"/>
              </w:rPr>
              <w:t>:</w:t>
            </w:r>
            <w:r>
              <w:rPr>
                <w:bCs w:val="0"/>
                <w:color w:val="auto"/>
              </w:rPr>
              <w:t>30-</w:t>
            </w:r>
            <w:r>
              <w:rPr>
                <w:rFonts w:hint="eastAsia"/>
                <w:bCs w:val="0"/>
                <w:color w:val="auto"/>
              </w:rPr>
              <w:t>1</w:t>
            </w:r>
            <w:r>
              <w:rPr>
                <w:bCs w:val="0"/>
                <w:color w:val="auto"/>
              </w:rPr>
              <w:t>1</w:t>
            </w:r>
            <w:r>
              <w:rPr>
                <w:rFonts w:hint="eastAsia"/>
                <w:bCs w:val="0"/>
                <w:color w:val="auto"/>
              </w:rPr>
              <w:t>:</w:t>
            </w:r>
            <w:r>
              <w:rPr>
                <w:bCs w:val="0"/>
                <w:color w:val="auto"/>
              </w:rPr>
              <w:t>30</w:t>
            </w:r>
          </w:p>
        </w:tc>
        <w:tc>
          <w:tcPr>
            <w:tcW w:w="1276" w:type="dxa"/>
            <w:vAlign w:val="center"/>
          </w:tcPr>
          <w:p>
            <w:pPr>
              <w:pStyle w:val="44"/>
              <w:rPr>
                <w:b/>
                <w:bCs w:val="0"/>
                <w:color w:val="auto"/>
              </w:rPr>
            </w:pPr>
            <w:r>
              <w:rPr>
                <w:rFonts w:hint="eastAsia"/>
                <w:bCs w:val="0"/>
                <w:color w:val="auto"/>
              </w:rPr>
              <w:t>0</w:t>
            </w:r>
            <w:r>
              <w:rPr>
                <w:bCs w:val="0"/>
                <w:color w:val="auto"/>
              </w:rPr>
              <w:t>.043</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3</w:t>
            </w:r>
            <w:r>
              <w:rPr>
                <w:rFonts w:hint="eastAsia"/>
                <w:bCs w:val="0"/>
                <w:color w:val="auto"/>
              </w:rPr>
              <w:t>:</w:t>
            </w:r>
            <w:r>
              <w:rPr>
                <w:bCs w:val="0"/>
                <w:color w:val="auto"/>
              </w:rPr>
              <w:t>0</w:t>
            </w:r>
            <w:r>
              <w:rPr>
                <w:rFonts w:hint="eastAsia"/>
                <w:bCs w:val="0"/>
                <w:color w:val="auto"/>
              </w:rPr>
              <w:t>0</w:t>
            </w:r>
            <w:r>
              <w:rPr>
                <w:bCs w:val="0"/>
                <w:color w:val="auto"/>
              </w:rPr>
              <w:t>-14</w:t>
            </w:r>
            <w:r>
              <w:rPr>
                <w:rFonts w:hint="eastAsia"/>
                <w:bCs w:val="0"/>
                <w:color w:val="auto"/>
              </w:rPr>
              <w:t>:</w:t>
            </w:r>
            <w:r>
              <w:rPr>
                <w:bCs w:val="0"/>
                <w:color w:val="auto"/>
              </w:rPr>
              <w:t>0</w:t>
            </w:r>
            <w:r>
              <w:rPr>
                <w:rFonts w:hint="eastAsia"/>
                <w:bCs w:val="0"/>
                <w:color w:val="auto"/>
              </w:rPr>
              <w:t>0</w:t>
            </w:r>
          </w:p>
        </w:tc>
        <w:tc>
          <w:tcPr>
            <w:tcW w:w="1276" w:type="dxa"/>
            <w:vAlign w:val="center"/>
          </w:tcPr>
          <w:p>
            <w:pPr>
              <w:pStyle w:val="44"/>
              <w:rPr>
                <w:b/>
                <w:bCs w:val="0"/>
                <w:color w:val="auto"/>
              </w:rPr>
            </w:pPr>
            <w:r>
              <w:rPr>
                <w:rFonts w:hint="eastAsia"/>
                <w:bCs w:val="0"/>
                <w:color w:val="auto"/>
              </w:rPr>
              <w:t>0</w:t>
            </w:r>
            <w:r>
              <w:rPr>
                <w:bCs w:val="0"/>
                <w:color w:val="auto"/>
              </w:rPr>
              <w:t>.041</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18"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134" w:type="dxa"/>
            <w:vMerge w:val="continue"/>
            <w:vAlign w:val="center"/>
          </w:tcPr>
          <w:p>
            <w:pPr>
              <w:pStyle w:val="44"/>
              <w:rPr>
                <w:b/>
                <w:bCs w:val="0"/>
                <w:color w:val="auto"/>
              </w:rPr>
            </w:pPr>
          </w:p>
        </w:tc>
        <w:tc>
          <w:tcPr>
            <w:tcW w:w="1276" w:type="dxa"/>
            <w:vAlign w:val="center"/>
          </w:tcPr>
          <w:p>
            <w:pPr>
              <w:pStyle w:val="44"/>
              <w:rPr>
                <w:b/>
                <w:bCs w:val="0"/>
                <w:color w:val="auto"/>
              </w:rPr>
            </w:pPr>
            <w:r>
              <w:rPr>
                <w:rFonts w:hint="eastAsia"/>
                <w:bCs w:val="0"/>
                <w:color w:val="auto"/>
              </w:rPr>
              <w:t>1</w:t>
            </w:r>
            <w:r>
              <w:rPr>
                <w:bCs w:val="0"/>
                <w:color w:val="auto"/>
              </w:rPr>
              <w:t>4</w:t>
            </w:r>
            <w:r>
              <w:rPr>
                <w:rFonts w:hint="eastAsia"/>
                <w:bCs w:val="0"/>
                <w:color w:val="auto"/>
              </w:rPr>
              <w:t>:</w:t>
            </w:r>
            <w:r>
              <w:rPr>
                <w:bCs w:val="0"/>
                <w:color w:val="auto"/>
              </w:rPr>
              <w:t>30-</w:t>
            </w:r>
            <w:r>
              <w:rPr>
                <w:rFonts w:hint="eastAsia"/>
                <w:bCs w:val="0"/>
                <w:color w:val="auto"/>
              </w:rPr>
              <w:t>1</w:t>
            </w:r>
            <w:r>
              <w:rPr>
                <w:bCs w:val="0"/>
                <w:color w:val="auto"/>
              </w:rPr>
              <w:t>5</w:t>
            </w:r>
            <w:r>
              <w:rPr>
                <w:rFonts w:hint="eastAsia"/>
                <w:bCs w:val="0"/>
                <w:color w:val="auto"/>
              </w:rPr>
              <w:t>:</w:t>
            </w:r>
            <w:r>
              <w:rPr>
                <w:bCs w:val="0"/>
                <w:color w:val="auto"/>
              </w:rPr>
              <w:t>30</w:t>
            </w:r>
          </w:p>
        </w:tc>
        <w:tc>
          <w:tcPr>
            <w:tcW w:w="1276" w:type="dxa"/>
            <w:vAlign w:val="center"/>
          </w:tcPr>
          <w:p>
            <w:pPr>
              <w:pStyle w:val="44"/>
              <w:rPr>
                <w:b/>
                <w:bCs w:val="0"/>
                <w:color w:val="auto"/>
              </w:rPr>
            </w:pPr>
            <w:r>
              <w:rPr>
                <w:rFonts w:hint="eastAsia"/>
                <w:bCs w:val="0"/>
                <w:color w:val="auto"/>
              </w:rPr>
              <w:t>0</w:t>
            </w:r>
            <w:r>
              <w:rPr>
                <w:bCs w:val="0"/>
                <w:color w:val="auto"/>
              </w:rPr>
              <w:t>.040</w:t>
            </w:r>
          </w:p>
        </w:tc>
        <w:tc>
          <w:tcPr>
            <w:tcW w:w="1275" w:type="dxa"/>
            <w:vMerge w:val="continue"/>
            <w:vAlign w:val="center"/>
          </w:tcPr>
          <w:p>
            <w:pPr>
              <w:pStyle w:val="44"/>
              <w:rPr>
                <w:b/>
                <w:bCs w:val="0"/>
                <w:color w:val="auto"/>
              </w:rPr>
            </w:pPr>
          </w:p>
        </w:tc>
        <w:tc>
          <w:tcPr>
            <w:tcW w:w="1203" w:type="dxa"/>
            <w:vAlign w:val="center"/>
          </w:tcPr>
          <w:p>
            <w:pPr>
              <w:pStyle w:val="44"/>
              <w:rPr>
                <w:b/>
                <w:bCs w:val="0"/>
                <w:color w:val="auto"/>
              </w:rPr>
            </w:pPr>
            <w:r>
              <w:rPr>
                <w:rFonts w:hint="eastAsia"/>
                <w:bCs w:val="0"/>
                <w:color w:val="auto"/>
              </w:rPr>
              <w:t>达标</w:t>
            </w:r>
          </w:p>
        </w:tc>
      </w:tr>
    </w:tbl>
    <w:p>
      <w:pPr>
        <w:pStyle w:val="6"/>
        <w:spacing w:before="156" w:beforeLines="50"/>
      </w:pPr>
      <w:r>
        <w:t>9.2.3噪声</w:t>
      </w:r>
      <w:bookmarkEnd w:id="117"/>
      <w:bookmarkEnd w:id="118"/>
    </w:p>
    <w:p>
      <w:pPr>
        <w:ind w:firstLine="480"/>
        <w:rPr>
          <w:rFonts w:cs="Times New Roman"/>
        </w:rPr>
      </w:pPr>
      <w:r>
        <w:rPr>
          <w:rFonts w:hint="eastAsia" w:cs="Times New Roman"/>
        </w:rPr>
        <w:t>浙江泓远检测科技有限公司</w:t>
      </w:r>
      <w:r>
        <w:rPr>
          <w:rFonts w:cs="Times New Roman"/>
        </w:rPr>
        <w:t>于2022年9</w:t>
      </w:r>
      <w:r>
        <w:rPr>
          <w:rFonts w:hint="eastAsia" w:cs="Times New Roman"/>
        </w:rPr>
        <w:t>月</w:t>
      </w:r>
      <w:r>
        <w:rPr>
          <w:rFonts w:cs="Times New Roman"/>
        </w:rPr>
        <w:t>2</w:t>
      </w:r>
      <w:r>
        <w:rPr>
          <w:rFonts w:hint="eastAsia" w:cs="Times New Roman"/>
        </w:rPr>
        <w:t>日、</w:t>
      </w:r>
      <w:r>
        <w:rPr>
          <w:rFonts w:cs="Times New Roman"/>
        </w:rPr>
        <w:t>9</w:t>
      </w:r>
      <w:r>
        <w:rPr>
          <w:rFonts w:hint="eastAsia" w:cs="Times New Roman"/>
        </w:rPr>
        <w:t>月</w:t>
      </w:r>
      <w:r>
        <w:rPr>
          <w:rFonts w:cs="Times New Roman"/>
        </w:rPr>
        <w:t>3</w:t>
      </w:r>
      <w:r>
        <w:rPr>
          <w:rFonts w:hint="eastAsia" w:cs="Times New Roman"/>
        </w:rPr>
        <w:t>日</w:t>
      </w:r>
      <w:r>
        <w:rPr>
          <w:rFonts w:cs="Times New Roman"/>
        </w:rPr>
        <w:t>对</w:t>
      </w:r>
      <w:r>
        <w:rPr>
          <w:rFonts w:hint="eastAsia" w:cs="Times New Roman"/>
        </w:rPr>
        <w:t>桐乡市诺派纺织科技有限公司</w:t>
      </w:r>
      <w:r>
        <w:rPr>
          <w:rFonts w:cs="Times New Roman"/>
        </w:rPr>
        <w:t>厂界噪声进行了现场监测</w:t>
      </w:r>
      <w:r>
        <w:rPr>
          <w:rFonts w:hint="eastAsia" w:cs="Times New Roman"/>
        </w:rPr>
        <w:t>，</w:t>
      </w:r>
      <w:r>
        <w:rPr>
          <w:rFonts w:cs="Times New Roman"/>
        </w:rPr>
        <w:t>噪声监测结果见表9-8。</w:t>
      </w:r>
    </w:p>
    <w:p>
      <w:pPr>
        <w:pStyle w:val="38"/>
        <w:rPr>
          <w:color w:val="auto"/>
        </w:rPr>
      </w:pPr>
      <w:r>
        <w:rPr>
          <w:color w:val="auto"/>
        </w:rPr>
        <w:t xml:space="preserve">表9-8  </w:t>
      </w:r>
      <w:r>
        <w:rPr>
          <w:rFonts w:hint="eastAsia"/>
          <w:color w:val="auto"/>
        </w:rPr>
        <w:t>厂界</w:t>
      </w:r>
      <w:r>
        <w:rPr>
          <w:color w:val="auto"/>
        </w:rPr>
        <w:t>噪声监测结果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134"/>
        <w:gridCol w:w="1418"/>
        <w:gridCol w:w="1135"/>
        <w:gridCol w:w="1327"/>
        <w:gridCol w:w="1296"/>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restart"/>
            <w:vAlign w:val="center"/>
          </w:tcPr>
          <w:p>
            <w:pPr>
              <w:pStyle w:val="44"/>
              <w:rPr>
                <w:b/>
                <w:bCs w:val="0"/>
                <w:color w:val="auto"/>
              </w:rPr>
            </w:pPr>
            <w:r>
              <w:rPr>
                <w:rFonts w:hint="eastAsia"/>
                <w:b/>
                <w:bCs w:val="0"/>
                <w:color w:val="auto"/>
              </w:rPr>
              <w:t>采样时间</w:t>
            </w:r>
          </w:p>
        </w:tc>
        <w:tc>
          <w:tcPr>
            <w:tcW w:w="650" w:type="pct"/>
            <w:vMerge w:val="restart"/>
            <w:vAlign w:val="center"/>
          </w:tcPr>
          <w:p>
            <w:pPr>
              <w:pStyle w:val="44"/>
              <w:rPr>
                <w:b/>
                <w:bCs w:val="0"/>
                <w:color w:val="auto"/>
              </w:rPr>
            </w:pPr>
            <w:r>
              <w:rPr>
                <w:rFonts w:hint="eastAsia"/>
                <w:b/>
                <w:bCs w:val="0"/>
                <w:color w:val="auto"/>
              </w:rPr>
              <w:t>测点位置</w:t>
            </w:r>
          </w:p>
        </w:tc>
        <w:tc>
          <w:tcPr>
            <w:tcW w:w="813" w:type="pct"/>
            <w:vMerge w:val="restart"/>
            <w:vAlign w:val="center"/>
          </w:tcPr>
          <w:p>
            <w:pPr>
              <w:pStyle w:val="44"/>
              <w:rPr>
                <w:b/>
                <w:bCs w:val="0"/>
                <w:color w:val="auto"/>
              </w:rPr>
            </w:pPr>
            <w:r>
              <w:rPr>
                <w:rFonts w:hint="eastAsia"/>
                <w:b/>
                <w:bCs w:val="0"/>
                <w:color w:val="auto"/>
              </w:rPr>
              <w:t>主要声源</w:t>
            </w:r>
          </w:p>
        </w:tc>
        <w:tc>
          <w:tcPr>
            <w:tcW w:w="1412" w:type="pct"/>
            <w:gridSpan w:val="2"/>
            <w:vAlign w:val="center"/>
          </w:tcPr>
          <w:p>
            <w:pPr>
              <w:pStyle w:val="44"/>
              <w:rPr>
                <w:b/>
                <w:bCs w:val="0"/>
                <w:color w:val="auto"/>
              </w:rPr>
            </w:pPr>
            <w:r>
              <w:rPr>
                <w:rFonts w:hint="eastAsia"/>
                <w:b/>
                <w:bCs w:val="0"/>
                <w:color w:val="auto"/>
              </w:rPr>
              <w:t>昼间</w:t>
            </w:r>
          </w:p>
        </w:tc>
        <w:tc>
          <w:tcPr>
            <w:tcW w:w="1413" w:type="pct"/>
            <w:gridSpan w:val="2"/>
            <w:vAlign w:val="center"/>
          </w:tcPr>
          <w:p>
            <w:pPr>
              <w:pStyle w:val="44"/>
              <w:rPr>
                <w:bCs w:val="0"/>
                <w:color w:val="auto"/>
              </w:rPr>
            </w:pPr>
            <w:r>
              <w:rPr>
                <w:rFonts w:hint="eastAsia"/>
                <w:b/>
                <w:bCs w:val="0"/>
                <w:color w:val="auto"/>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12" w:type="pct"/>
            <w:vMerge w:val="continue"/>
            <w:vAlign w:val="center"/>
          </w:tcPr>
          <w:p>
            <w:pPr>
              <w:pStyle w:val="44"/>
              <w:rPr>
                <w:color w:val="auto"/>
              </w:rPr>
            </w:pPr>
          </w:p>
        </w:tc>
        <w:tc>
          <w:tcPr>
            <w:tcW w:w="650" w:type="pct"/>
            <w:vMerge w:val="continue"/>
            <w:vAlign w:val="center"/>
          </w:tcPr>
          <w:p>
            <w:pPr>
              <w:pStyle w:val="44"/>
              <w:rPr>
                <w:color w:val="auto"/>
              </w:rPr>
            </w:pPr>
          </w:p>
        </w:tc>
        <w:tc>
          <w:tcPr>
            <w:tcW w:w="813" w:type="pct"/>
            <w:vMerge w:val="continue"/>
            <w:vAlign w:val="center"/>
          </w:tcPr>
          <w:p>
            <w:pPr>
              <w:pStyle w:val="44"/>
              <w:rPr>
                <w:color w:val="auto"/>
              </w:rPr>
            </w:pPr>
          </w:p>
        </w:tc>
        <w:tc>
          <w:tcPr>
            <w:tcW w:w="651" w:type="pct"/>
            <w:vAlign w:val="center"/>
          </w:tcPr>
          <w:p>
            <w:pPr>
              <w:pStyle w:val="44"/>
              <w:rPr>
                <w:b/>
                <w:bCs w:val="0"/>
                <w:color w:val="auto"/>
              </w:rPr>
            </w:pPr>
            <w:r>
              <w:rPr>
                <w:rFonts w:hint="eastAsia"/>
                <w:b/>
                <w:bCs w:val="0"/>
                <w:color w:val="auto"/>
              </w:rPr>
              <w:t>测量时间</w:t>
            </w:r>
          </w:p>
        </w:tc>
        <w:tc>
          <w:tcPr>
            <w:tcW w:w="761" w:type="pct"/>
            <w:vAlign w:val="center"/>
          </w:tcPr>
          <w:p>
            <w:pPr>
              <w:pStyle w:val="44"/>
              <w:rPr>
                <w:b/>
                <w:bCs w:val="0"/>
                <w:color w:val="auto"/>
              </w:rPr>
            </w:pPr>
            <w:r>
              <w:rPr>
                <w:rFonts w:hint="eastAsia"/>
                <w:b/>
                <w:bCs w:val="0"/>
                <w:color w:val="auto"/>
              </w:rPr>
              <w:t>测量值</w:t>
            </w:r>
            <w:r>
              <w:rPr>
                <w:b/>
                <w:bCs w:val="0"/>
                <w:color w:val="auto"/>
              </w:rPr>
              <w:t>/</w:t>
            </w:r>
            <w:r>
              <w:rPr>
                <w:rFonts w:hint="eastAsia"/>
                <w:b/>
                <w:bCs w:val="0"/>
                <w:color w:val="auto"/>
              </w:rPr>
              <w:t>dB（A）</w:t>
            </w:r>
          </w:p>
        </w:tc>
        <w:tc>
          <w:tcPr>
            <w:tcW w:w="743" w:type="pct"/>
            <w:vAlign w:val="center"/>
          </w:tcPr>
          <w:p>
            <w:pPr>
              <w:pStyle w:val="44"/>
              <w:rPr>
                <w:b/>
                <w:bCs w:val="0"/>
                <w:color w:val="auto"/>
              </w:rPr>
            </w:pPr>
            <w:r>
              <w:rPr>
                <w:rFonts w:hint="eastAsia"/>
                <w:b/>
                <w:bCs w:val="0"/>
                <w:color w:val="auto"/>
              </w:rPr>
              <w:t>测量时间</w:t>
            </w:r>
          </w:p>
        </w:tc>
        <w:tc>
          <w:tcPr>
            <w:tcW w:w="670" w:type="pct"/>
            <w:vAlign w:val="center"/>
          </w:tcPr>
          <w:p>
            <w:pPr>
              <w:pStyle w:val="44"/>
              <w:rPr>
                <w:b/>
                <w:bCs w:val="0"/>
                <w:color w:val="auto"/>
              </w:rPr>
            </w:pPr>
            <w:r>
              <w:rPr>
                <w:rFonts w:hint="eastAsia"/>
                <w:b/>
                <w:bCs w:val="0"/>
                <w:color w:val="auto"/>
              </w:rPr>
              <w:t>测量值</w:t>
            </w:r>
            <w:r>
              <w:rPr>
                <w:b/>
                <w:bCs w:val="0"/>
                <w:color w:val="auto"/>
              </w:rPr>
              <w:t>/</w:t>
            </w:r>
            <w:r>
              <w:rPr>
                <w:rFonts w:hint="eastAsia"/>
                <w:b/>
                <w:bCs w:val="0"/>
                <w:color w:val="auto"/>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restart"/>
            <w:vAlign w:val="center"/>
          </w:tcPr>
          <w:p>
            <w:pPr>
              <w:pStyle w:val="44"/>
              <w:rPr>
                <w:b/>
                <w:bCs w:val="0"/>
                <w:color w:val="auto"/>
              </w:rPr>
            </w:pPr>
            <w:r>
              <w:rPr>
                <w:bCs w:val="0"/>
                <w:color w:val="auto"/>
              </w:rPr>
              <w:t>2022.9.2</w:t>
            </w:r>
          </w:p>
        </w:tc>
        <w:tc>
          <w:tcPr>
            <w:tcW w:w="650" w:type="pct"/>
            <w:vAlign w:val="center"/>
          </w:tcPr>
          <w:p>
            <w:pPr>
              <w:pStyle w:val="44"/>
              <w:rPr>
                <w:b/>
                <w:bCs w:val="0"/>
                <w:color w:val="auto"/>
              </w:rPr>
            </w:pPr>
            <w:r>
              <w:rPr>
                <w:rFonts w:hint="eastAsia"/>
                <w:bCs w:val="0"/>
                <w:color w:val="auto"/>
              </w:rPr>
              <w:t>厂界东</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08:50</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8.2</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05</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continue"/>
            <w:vAlign w:val="center"/>
          </w:tcPr>
          <w:p>
            <w:pPr>
              <w:pStyle w:val="44"/>
              <w:rPr>
                <w:b/>
                <w:bCs w:val="0"/>
                <w:color w:val="auto"/>
              </w:rPr>
            </w:pPr>
          </w:p>
        </w:tc>
        <w:tc>
          <w:tcPr>
            <w:tcW w:w="650" w:type="pct"/>
            <w:vAlign w:val="center"/>
          </w:tcPr>
          <w:p>
            <w:pPr>
              <w:pStyle w:val="44"/>
              <w:rPr>
                <w:b/>
                <w:bCs w:val="0"/>
                <w:color w:val="auto"/>
              </w:rPr>
            </w:pPr>
            <w:r>
              <w:rPr>
                <w:rFonts w:hint="eastAsia"/>
                <w:bCs w:val="0"/>
                <w:color w:val="auto"/>
              </w:rPr>
              <w:t>厂界南</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08:53</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9.6</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09</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continue"/>
            <w:vAlign w:val="center"/>
          </w:tcPr>
          <w:p>
            <w:pPr>
              <w:pStyle w:val="44"/>
              <w:rPr>
                <w:b/>
                <w:bCs w:val="0"/>
                <w:color w:val="auto"/>
              </w:rPr>
            </w:pPr>
          </w:p>
        </w:tc>
        <w:tc>
          <w:tcPr>
            <w:tcW w:w="650" w:type="pct"/>
            <w:vAlign w:val="center"/>
          </w:tcPr>
          <w:p>
            <w:pPr>
              <w:pStyle w:val="44"/>
              <w:rPr>
                <w:b/>
                <w:bCs w:val="0"/>
                <w:color w:val="auto"/>
              </w:rPr>
            </w:pPr>
            <w:r>
              <w:rPr>
                <w:rFonts w:hint="eastAsia"/>
                <w:bCs w:val="0"/>
                <w:color w:val="auto"/>
              </w:rPr>
              <w:t>厂界西</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08:57</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8.4</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15</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12" w:type="pct"/>
            <w:vMerge w:val="continue"/>
            <w:vAlign w:val="center"/>
          </w:tcPr>
          <w:p>
            <w:pPr>
              <w:pStyle w:val="44"/>
              <w:rPr>
                <w:b/>
                <w:bCs w:val="0"/>
                <w:color w:val="auto"/>
              </w:rPr>
            </w:pPr>
          </w:p>
        </w:tc>
        <w:tc>
          <w:tcPr>
            <w:tcW w:w="650" w:type="pct"/>
            <w:vAlign w:val="center"/>
          </w:tcPr>
          <w:p>
            <w:pPr>
              <w:pStyle w:val="44"/>
              <w:rPr>
                <w:b/>
                <w:bCs w:val="0"/>
                <w:color w:val="auto"/>
              </w:rPr>
            </w:pPr>
            <w:r>
              <w:rPr>
                <w:rFonts w:hint="eastAsia"/>
                <w:bCs w:val="0"/>
                <w:color w:val="auto"/>
              </w:rPr>
              <w:t>厂界北</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08:59</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8.3</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18</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restart"/>
            <w:vAlign w:val="center"/>
          </w:tcPr>
          <w:p>
            <w:pPr>
              <w:pStyle w:val="44"/>
              <w:rPr>
                <w:b/>
                <w:bCs w:val="0"/>
                <w:color w:val="auto"/>
              </w:rPr>
            </w:pPr>
            <w:r>
              <w:rPr>
                <w:rFonts w:hint="eastAsia"/>
                <w:bCs w:val="0"/>
                <w:color w:val="auto"/>
              </w:rPr>
              <w:t>2022.9.3</w:t>
            </w:r>
          </w:p>
        </w:tc>
        <w:tc>
          <w:tcPr>
            <w:tcW w:w="650" w:type="pct"/>
            <w:vAlign w:val="center"/>
          </w:tcPr>
          <w:p>
            <w:pPr>
              <w:pStyle w:val="44"/>
              <w:rPr>
                <w:b/>
                <w:bCs w:val="0"/>
                <w:color w:val="auto"/>
              </w:rPr>
            </w:pPr>
            <w:r>
              <w:rPr>
                <w:rFonts w:hint="eastAsia"/>
                <w:bCs w:val="0"/>
                <w:color w:val="auto"/>
              </w:rPr>
              <w:t>厂界东</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08:22</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8.6</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05</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continue"/>
            <w:vAlign w:val="center"/>
          </w:tcPr>
          <w:p>
            <w:pPr>
              <w:pStyle w:val="44"/>
              <w:rPr>
                <w:b/>
                <w:bCs w:val="0"/>
                <w:color w:val="auto"/>
              </w:rPr>
            </w:pPr>
          </w:p>
        </w:tc>
        <w:tc>
          <w:tcPr>
            <w:tcW w:w="650" w:type="pct"/>
            <w:vAlign w:val="center"/>
          </w:tcPr>
          <w:p>
            <w:pPr>
              <w:pStyle w:val="44"/>
              <w:rPr>
                <w:b/>
                <w:bCs w:val="0"/>
                <w:color w:val="auto"/>
              </w:rPr>
            </w:pPr>
            <w:r>
              <w:rPr>
                <w:rFonts w:hint="eastAsia"/>
                <w:bCs w:val="0"/>
                <w:color w:val="auto"/>
              </w:rPr>
              <w:t>厂界南</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08:25</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9.3</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09</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continue"/>
            <w:vAlign w:val="center"/>
          </w:tcPr>
          <w:p>
            <w:pPr>
              <w:pStyle w:val="44"/>
              <w:rPr>
                <w:b/>
                <w:bCs w:val="0"/>
                <w:color w:val="auto"/>
              </w:rPr>
            </w:pPr>
          </w:p>
        </w:tc>
        <w:tc>
          <w:tcPr>
            <w:tcW w:w="650" w:type="pct"/>
            <w:vAlign w:val="center"/>
          </w:tcPr>
          <w:p>
            <w:pPr>
              <w:pStyle w:val="44"/>
              <w:rPr>
                <w:b/>
                <w:bCs w:val="0"/>
                <w:color w:val="auto"/>
              </w:rPr>
            </w:pPr>
            <w:r>
              <w:rPr>
                <w:rFonts w:hint="eastAsia"/>
                <w:bCs w:val="0"/>
                <w:color w:val="auto"/>
              </w:rPr>
              <w:t>厂界西</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08:29</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7.5</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13</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2" w:type="pct"/>
            <w:vMerge w:val="continue"/>
            <w:vAlign w:val="center"/>
          </w:tcPr>
          <w:p>
            <w:pPr>
              <w:pStyle w:val="44"/>
              <w:rPr>
                <w:b/>
                <w:bCs w:val="0"/>
                <w:color w:val="auto"/>
              </w:rPr>
            </w:pPr>
          </w:p>
        </w:tc>
        <w:tc>
          <w:tcPr>
            <w:tcW w:w="650" w:type="pct"/>
            <w:vAlign w:val="center"/>
          </w:tcPr>
          <w:p>
            <w:pPr>
              <w:pStyle w:val="44"/>
              <w:rPr>
                <w:b/>
                <w:bCs w:val="0"/>
                <w:color w:val="auto"/>
              </w:rPr>
            </w:pPr>
            <w:r>
              <w:rPr>
                <w:rFonts w:hint="eastAsia"/>
                <w:bCs w:val="0"/>
                <w:color w:val="auto"/>
              </w:rPr>
              <w:t>厂界北</w:t>
            </w:r>
          </w:p>
        </w:tc>
        <w:tc>
          <w:tcPr>
            <w:tcW w:w="813" w:type="pct"/>
            <w:vAlign w:val="center"/>
          </w:tcPr>
          <w:p>
            <w:pPr>
              <w:pStyle w:val="44"/>
              <w:rPr>
                <w:b/>
                <w:bCs w:val="0"/>
                <w:color w:val="auto"/>
              </w:rPr>
            </w:pPr>
            <w:r>
              <w:rPr>
                <w:rFonts w:hint="eastAsia"/>
                <w:bCs w:val="0"/>
                <w:color w:val="auto"/>
              </w:rPr>
              <w:t>生产活动</w:t>
            </w:r>
          </w:p>
        </w:tc>
        <w:tc>
          <w:tcPr>
            <w:tcW w:w="651" w:type="pct"/>
            <w:shd w:val="clear" w:color="auto" w:fill="auto"/>
            <w:vAlign w:val="center"/>
          </w:tcPr>
          <w:p>
            <w:pPr>
              <w:pStyle w:val="44"/>
              <w:rPr>
                <w:b/>
                <w:bCs w:val="0"/>
                <w:color w:val="auto"/>
              </w:rPr>
            </w:pPr>
            <w:r>
              <w:rPr>
                <w:rFonts w:eastAsia="等线"/>
                <w:bCs w:val="0"/>
                <w:color w:val="auto"/>
                <w:szCs w:val="21"/>
              </w:rPr>
              <w:t>08:35</w:t>
            </w:r>
          </w:p>
        </w:tc>
        <w:tc>
          <w:tcPr>
            <w:tcW w:w="761" w:type="pct"/>
            <w:shd w:val="clear" w:color="auto" w:fill="auto"/>
            <w:vAlign w:val="center"/>
          </w:tcPr>
          <w:p>
            <w:pPr>
              <w:pStyle w:val="44"/>
              <w:rPr>
                <w:bCs w:val="0"/>
                <w:color w:val="auto"/>
              </w:rPr>
            </w:pPr>
            <w:r>
              <w:rPr>
                <w:rFonts w:hint="eastAsia"/>
                <w:bCs w:val="0"/>
                <w:color w:val="auto"/>
              </w:rPr>
              <w:t>5</w:t>
            </w:r>
            <w:r>
              <w:rPr>
                <w:bCs w:val="0"/>
                <w:color w:val="auto"/>
              </w:rPr>
              <w:t>8.1</w:t>
            </w:r>
          </w:p>
        </w:tc>
        <w:tc>
          <w:tcPr>
            <w:tcW w:w="743" w:type="pct"/>
            <w:shd w:val="clear" w:color="auto" w:fill="auto"/>
            <w:vAlign w:val="center"/>
          </w:tcPr>
          <w:p>
            <w:pPr>
              <w:pStyle w:val="44"/>
              <w:rPr>
                <w:bCs w:val="0"/>
                <w:color w:val="auto"/>
              </w:rPr>
            </w:pPr>
            <w:r>
              <w:rPr>
                <w:rFonts w:hint="eastAsia"/>
                <w:bCs w:val="0"/>
                <w:color w:val="auto"/>
              </w:rPr>
              <w:t>2</w:t>
            </w:r>
            <w:r>
              <w:rPr>
                <w:bCs w:val="0"/>
                <w:color w:val="auto"/>
              </w:rPr>
              <w:t>2</w:t>
            </w:r>
            <w:r>
              <w:rPr>
                <w:rFonts w:hint="eastAsia"/>
                <w:bCs w:val="0"/>
                <w:color w:val="auto"/>
              </w:rPr>
              <w:t>:</w:t>
            </w:r>
            <w:r>
              <w:rPr>
                <w:bCs w:val="0"/>
                <w:color w:val="auto"/>
              </w:rPr>
              <w:t>17</w:t>
            </w:r>
          </w:p>
        </w:tc>
        <w:tc>
          <w:tcPr>
            <w:tcW w:w="670" w:type="pct"/>
            <w:shd w:val="clear" w:color="auto" w:fill="auto"/>
            <w:vAlign w:val="center"/>
          </w:tcPr>
          <w:p>
            <w:pPr>
              <w:pStyle w:val="44"/>
              <w:rPr>
                <w:bCs w:val="0"/>
                <w:color w:val="auto"/>
              </w:rPr>
            </w:pPr>
            <w:r>
              <w:rPr>
                <w:rFonts w:hint="eastAsia"/>
                <w:bCs w:val="0"/>
                <w:color w:val="auto"/>
              </w:rPr>
              <w:t>4</w:t>
            </w:r>
            <w:r>
              <w:rPr>
                <w:bCs w:val="0"/>
                <w:color w:val="auto"/>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175" w:type="pct"/>
            <w:gridSpan w:val="3"/>
            <w:vAlign w:val="center"/>
          </w:tcPr>
          <w:p>
            <w:pPr>
              <w:pStyle w:val="44"/>
              <w:rPr>
                <w:b/>
                <w:bCs w:val="0"/>
                <w:color w:val="auto"/>
              </w:rPr>
            </w:pPr>
            <w:r>
              <w:rPr>
                <w:rFonts w:hint="eastAsia"/>
                <w:bCs w:val="0"/>
                <w:color w:val="auto"/>
              </w:rPr>
              <w:t>《工业企业厂界环境噪声排放标准》</w:t>
            </w:r>
            <w:r>
              <w:rPr>
                <w:bCs w:val="0"/>
                <w:color w:val="auto"/>
              </w:rPr>
              <w:t>3</w:t>
            </w:r>
            <w:r>
              <w:rPr>
                <w:rFonts w:hint="eastAsia"/>
                <w:bCs w:val="0"/>
                <w:color w:val="auto"/>
              </w:rPr>
              <w:t>类区标准值</w:t>
            </w:r>
          </w:p>
        </w:tc>
        <w:tc>
          <w:tcPr>
            <w:tcW w:w="1412" w:type="pct"/>
            <w:gridSpan w:val="2"/>
            <w:vAlign w:val="center"/>
          </w:tcPr>
          <w:p>
            <w:pPr>
              <w:pStyle w:val="44"/>
              <w:rPr>
                <w:b/>
                <w:bCs w:val="0"/>
                <w:color w:val="auto"/>
              </w:rPr>
            </w:pPr>
            <w:r>
              <w:rPr>
                <w:bCs w:val="0"/>
                <w:color w:val="auto"/>
              </w:rPr>
              <w:t>65</w:t>
            </w:r>
          </w:p>
        </w:tc>
        <w:tc>
          <w:tcPr>
            <w:tcW w:w="1413" w:type="pct"/>
            <w:gridSpan w:val="2"/>
            <w:vAlign w:val="center"/>
          </w:tcPr>
          <w:p>
            <w:pPr>
              <w:pStyle w:val="44"/>
              <w:rPr>
                <w:bCs w:val="0"/>
                <w:color w:val="auto"/>
              </w:rPr>
            </w:pPr>
            <w:r>
              <w:rPr>
                <w:rFonts w:hint="eastAsia"/>
                <w:bCs w:val="0"/>
                <w:color w:val="auto"/>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75" w:type="pct"/>
            <w:gridSpan w:val="3"/>
            <w:vAlign w:val="center"/>
          </w:tcPr>
          <w:p>
            <w:pPr>
              <w:pStyle w:val="44"/>
              <w:rPr>
                <w:b/>
                <w:bCs w:val="0"/>
                <w:color w:val="auto"/>
              </w:rPr>
            </w:pPr>
            <w:r>
              <w:rPr>
                <w:rFonts w:hint="eastAsia"/>
                <w:bCs w:val="0"/>
                <w:color w:val="auto"/>
              </w:rPr>
              <w:t>达标情况</w:t>
            </w:r>
          </w:p>
        </w:tc>
        <w:tc>
          <w:tcPr>
            <w:tcW w:w="1412" w:type="pct"/>
            <w:gridSpan w:val="2"/>
            <w:vAlign w:val="center"/>
          </w:tcPr>
          <w:p>
            <w:pPr>
              <w:pStyle w:val="44"/>
              <w:rPr>
                <w:b/>
                <w:bCs w:val="0"/>
                <w:color w:val="auto"/>
              </w:rPr>
            </w:pPr>
            <w:r>
              <w:rPr>
                <w:rFonts w:hint="eastAsia"/>
                <w:bCs w:val="0"/>
                <w:color w:val="auto"/>
              </w:rPr>
              <w:t>达标</w:t>
            </w:r>
          </w:p>
        </w:tc>
        <w:tc>
          <w:tcPr>
            <w:tcW w:w="1413" w:type="pct"/>
            <w:gridSpan w:val="2"/>
            <w:vAlign w:val="center"/>
          </w:tcPr>
          <w:p>
            <w:pPr>
              <w:pStyle w:val="44"/>
              <w:rPr>
                <w:bCs w:val="0"/>
                <w:color w:val="auto"/>
              </w:rPr>
            </w:pPr>
            <w:r>
              <w:rPr>
                <w:bCs w:val="0"/>
                <w:color w:val="auto"/>
              </w:rPr>
              <w:t>达标</w:t>
            </w:r>
          </w:p>
        </w:tc>
      </w:tr>
    </w:tbl>
    <w:p>
      <w:pPr>
        <w:spacing w:before="156" w:beforeLines="50"/>
        <w:ind w:firstLine="480"/>
      </w:pPr>
      <w:r>
        <w:t>根据监测结果，</w:t>
      </w:r>
      <w:r>
        <w:rPr>
          <w:rFonts w:hint="eastAsia"/>
        </w:rPr>
        <w:t>公司</w:t>
      </w:r>
      <w:r>
        <w:t>厂界</w:t>
      </w:r>
      <w:r>
        <w:rPr>
          <w:rFonts w:hint="eastAsia"/>
        </w:rPr>
        <w:t>昼夜</w:t>
      </w:r>
      <w:r>
        <w:t>间噪声监测值均达到《工业企业厂界环境噪声排放标准》（GB12348-2008）中的3类</w:t>
      </w:r>
      <w:r>
        <w:rPr>
          <w:rFonts w:hint="eastAsia"/>
        </w:rPr>
        <w:t>区</w:t>
      </w:r>
      <w:r>
        <w:t>标准。</w:t>
      </w:r>
    </w:p>
    <w:p>
      <w:pPr>
        <w:pStyle w:val="6"/>
      </w:pPr>
      <w:bookmarkStart w:id="119" w:name="_Toc81808421"/>
      <w:bookmarkStart w:id="120" w:name="_Toc81808533"/>
      <w:r>
        <w:t>9.2.4固（液）体废物</w:t>
      </w:r>
      <w:bookmarkEnd w:id="119"/>
      <w:bookmarkEnd w:id="120"/>
    </w:p>
    <w:p>
      <w:pPr>
        <w:ind w:firstLine="480"/>
        <w:rPr>
          <w:rFonts w:cs="Times New Roman"/>
        </w:rPr>
      </w:pPr>
      <w:r>
        <w:rPr>
          <w:rFonts w:cs="Times New Roman"/>
        </w:rPr>
        <w:t>根据环评报告预测结果及验收期间实际调查情况</w:t>
      </w:r>
      <w:r>
        <w:rPr>
          <w:rFonts w:hint="eastAsia" w:cs="Times New Roman"/>
        </w:rPr>
        <w:t>，我公司固（液）体废物</w:t>
      </w:r>
      <w:r>
        <w:rPr>
          <w:rFonts w:cs="Times New Roman"/>
        </w:rPr>
        <w:t>具体</w:t>
      </w:r>
      <w:r>
        <w:rPr>
          <w:rFonts w:hint="eastAsia" w:cs="Times New Roman"/>
        </w:rPr>
        <w:t>产生、处置</w:t>
      </w:r>
      <w:r>
        <w:rPr>
          <w:rFonts w:cs="Times New Roman"/>
        </w:rPr>
        <w:t>情况见表9-9</w:t>
      </w:r>
      <w:r>
        <w:rPr>
          <w:rFonts w:hint="eastAsia" w:cs="Times New Roman"/>
        </w:rPr>
        <w:t>所示</w:t>
      </w:r>
      <w:r>
        <w:rPr>
          <w:rFonts w:cs="Times New Roman"/>
        </w:rPr>
        <w:t>。</w:t>
      </w:r>
    </w:p>
    <w:p>
      <w:pPr>
        <w:pStyle w:val="35"/>
        <w:wordWrap w:val="0"/>
        <w:spacing w:before="62" w:after="31"/>
        <w:jc w:val="right"/>
      </w:pPr>
      <w:r>
        <w:t>表9-9  固体废物监测情况明细表</w:t>
      </w:r>
      <w:r>
        <w:rPr>
          <w:rFonts w:hint="eastAsia"/>
        </w:rPr>
        <w:t xml:space="preserve"> </w:t>
      </w:r>
      <w:r>
        <w:t xml:space="preserve">          </w:t>
      </w:r>
      <w:r>
        <w:rPr>
          <w:rFonts w:hint="eastAsia"/>
        </w:rPr>
        <w:t xml:space="preserve"> </w:t>
      </w:r>
      <w:r>
        <w:t xml:space="preserve">     单位：t/a</w:t>
      </w:r>
    </w:p>
    <w:tbl>
      <w:tblPr>
        <w:tblStyle w:val="22"/>
        <w:tblW w:w="92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020"/>
        <w:gridCol w:w="1077"/>
        <w:gridCol w:w="709"/>
        <w:gridCol w:w="1020"/>
        <w:gridCol w:w="1191"/>
        <w:gridCol w:w="1020"/>
        <w:gridCol w:w="851"/>
        <w:gridCol w:w="1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color w:val="auto"/>
                <w:sz w:val="20"/>
                <w:szCs w:val="20"/>
              </w:rPr>
              <w:t>序号</w:t>
            </w:r>
          </w:p>
        </w:tc>
        <w:tc>
          <w:tcPr>
            <w:tcW w:w="1020" w:type="dxa"/>
            <w:vAlign w:val="center"/>
          </w:tcPr>
          <w:p>
            <w:pPr>
              <w:pStyle w:val="39"/>
              <w:spacing w:before="62" w:after="31"/>
              <w:rPr>
                <w:b w:val="0"/>
                <w:bCs w:val="0"/>
                <w:color w:val="auto"/>
                <w:sz w:val="20"/>
                <w:szCs w:val="20"/>
              </w:rPr>
            </w:pPr>
            <w:r>
              <w:rPr>
                <w:color w:val="auto"/>
                <w:sz w:val="20"/>
                <w:szCs w:val="20"/>
              </w:rPr>
              <w:t>名称</w:t>
            </w:r>
          </w:p>
        </w:tc>
        <w:tc>
          <w:tcPr>
            <w:tcW w:w="1077" w:type="dxa"/>
            <w:vAlign w:val="center"/>
          </w:tcPr>
          <w:p>
            <w:pPr>
              <w:pStyle w:val="39"/>
              <w:spacing w:before="62" w:after="31"/>
              <w:rPr>
                <w:b w:val="0"/>
                <w:bCs w:val="0"/>
                <w:color w:val="auto"/>
                <w:sz w:val="20"/>
                <w:szCs w:val="20"/>
              </w:rPr>
            </w:pPr>
            <w:r>
              <w:rPr>
                <w:color w:val="auto"/>
                <w:sz w:val="20"/>
                <w:szCs w:val="20"/>
              </w:rPr>
              <w:t>产生工序</w:t>
            </w:r>
          </w:p>
        </w:tc>
        <w:tc>
          <w:tcPr>
            <w:tcW w:w="709" w:type="dxa"/>
            <w:vAlign w:val="center"/>
          </w:tcPr>
          <w:p>
            <w:pPr>
              <w:pStyle w:val="39"/>
              <w:spacing w:before="62" w:after="31"/>
              <w:rPr>
                <w:b w:val="0"/>
                <w:bCs w:val="0"/>
                <w:color w:val="auto"/>
                <w:sz w:val="20"/>
                <w:szCs w:val="20"/>
              </w:rPr>
            </w:pPr>
            <w:r>
              <w:rPr>
                <w:color w:val="auto"/>
                <w:sz w:val="20"/>
                <w:szCs w:val="20"/>
              </w:rPr>
              <w:t>形态</w:t>
            </w:r>
          </w:p>
        </w:tc>
        <w:tc>
          <w:tcPr>
            <w:tcW w:w="1020" w:type="dxa"/>
            <w:vAlign w:val="center"/>
          </w:tcPr>
          <w:p>
            <w:pPr>
              <w:pStyle w:val="39"/>
              <w:spacing w:before="62" w:after="31"/>
              <w:rPr>
                <w:b w:val="0"/>
                <w:bCs w:val="0"/>
                <w:color w:val="auto"/>
                <w:sz w:val="20"/>
                <w:szCs w:val="20"/>
              </w:rPr>
            </w:pPr>
            <w:r>
              <w:rPr>
                <w:color w:val="auto"/>
                <w:sz w:val="20"/>
                <w:szCs w:val="20"/>
              </w:rPr>
              <w:t>主要成分</w:t>
            </w:r>
          </w:p>
        </w:tc>
        <w:tc>
          <w:tcPr>
            <w:tcW w:w="1191" w:type="dxa"/>
            <w:vAlign w:val="center"/>
          </w:tcPr>
          <w:p>
            <w:pPr>
              <w:pStyle w:val="39"/>
              <w:spacing w:before="62" w:after="31"/>
              <w:rPr>
                <w:b w:val="0"/>
                <w:bCs w:val="0"/>
                <w:color w:val="auto"/>
                <w:sz w:val="20"/>
                <w:szCs w:val="20"/>
              </w:rPr>
            </w:pPr>
            <w:r>
              <w:rPr>
                <w:color w:val="auto"/>
                <w:sz w:val="20"/>
                <w:szCs w:val="20"/>
              </w:rPr>
              <w:t>属性</w:t>
            </w:r>
          </w:p>
        </w:tc>
        <w:tc>
          <w:tcPr>
            <w:tcW w:w="1020" w:type="dxa"/>
            <w:vAlign w:val="center"/>
          </w:tcPr>
          <w:p>
            <w:pPr>
              <w:pStyle w:val="39"/>
              <w:spacing w:before="62" w:after="31"/>
              <w:rPr>
                <w:b w:val="0"/>
                <w:bCs w:val="0"/>
                <w:color w:val="auto"/>
                <w:sz w:val="20"/>
                <w:szCs w:val="20"/>
              </w:rPr>
            </w:pPr>
            <w:r>
              <w:rPr>
                <w:rFonts w:hint="eastAsia"/>
                <w:color w:val="auto"/>
                <w:sz w:val="20"/>
                <w:szCs w:val="20"/>
              </w:rPr>
              <w:t>环评预测</w:t>
            </w:r>
            <w:r>
              <w:rPr>
                <w:color w:val="auto"/>
                <w:sz w:val="20"/>
                <w:szCs w:val="20"/>
              </w:rPr>
              <w:t>产生量</w:t>
            </w:r>
          </w:p>
        </w:tc>
        <w:tc>
          <w:tcPr>
            <w:tcW w:w="851" w:type="dxa"/>
            <w:vAlign w:val="center"/>
          </w:tcPr>
          <w:p>
            <w:pPr>
              <w:pStyle w:val="39"/>
              <w:spacing w:before="62" w:after="31"/>
              <w:rPr>
                <w:color w:val="auto"/>
                <w:sz w:val="20"/>
                <w:szCs w:val="20"/>
              </w:rPr>
            </w:pPr>
            <w:r>
              <w:rPr>
                <w:rFonts w:hint="eastAsia"/>
                <w:color w:val="auto"/>
                <w:sz w:val="20"/>
                <w:szCs w:val="20"/>
              </w:rPr>
              <w:t>实际产生量</w:t>
            </w:r>
          </w:p>
        </w:tc>
        <w:tc>
          <w:tcPr>
            <w:tcW w:w="1804" w:type="dxa"/>
            <w:vAlign w:val="center"/>
          </w:tcPr>
          <w:p>
            <w:pPr>
              <w:pStyle w:val="39"/>
              <w:spacing w:before="62" w:after="31"/>
              <w:rPr>
                <w:b w:val="0"/>
                <w:bCs w:val="0"/>
                <w:color w:val="auto"/>
                <w:sz w:val="20"/>
                <w:szCs w:val="20"/>
              </w:rPr>
            </w:pPr>
            <w:r>
              <w:rPr>
                <w:color w:val="auto"/>
                <w:sz w:val="20"/>
                <w:szCs w:val="20"/>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b w:val="0"/>
                <w:bCs w:val="0"/>
                <w:color w:val="auto"/>
                <w:sz w:val="20"/>
                <w:szCs w:val="20"/>
              </w:rPr>
              <w:t>1</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废布料</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原料使用</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固态</w:t>
            </w:r>
          </w:p>
        </w:tc>
        <w:tc>
          <w:tcPr>
            <w:tcW w:w="1020" w:type="dxa"/>
            <w:vAlign w:val="center"/>
          </w:tcPr>
          <w:p>
            <w:pPr>
              <w:pStyle w:val="39"/>
              <w:spacing w:before="62" w:after="31"/>
              <w:rPr>
                <w:rFonts w:eastAsia="宋体"/>
                <w:b w:val="0"/>
                <w:bCs w:val="0"/>
                <w:color w:val="auto"/>
                <w:sz w:val="20"/>
                <w:szCs w:val="20"/>
              </w:rPr>
            </w:pPr>
            <w:r>
              <w:rPr>
                <w:rFonts w:eastAsia="宋体"/>
                <w:b w:val="0"/>
                <w:bCs w:val="0"/>
                <w:color w:val="auto"/>
                <w:sz w:val="20"/>
                <w:szCs w:val="20"/>
              </w:rPr>
              <w:t>废布料纤维</w:t>
            </w:r>
          </w:p>
        </w:tc>
        <w:tc>
          <w:tcPr>
            <w:tcW w:w="1191"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一般固废</w:t>
            </w:r>
            <w:r>
              <w:rPr>
                <w:b w:val="0"/>
                <w:bCs w:val="0"/>
                <w:color w:val="auto"/>
                <w:sz w:val="20"/>
                <w:szCs w:val="20"/>
              </w:rPr>
              <w:t>170-001-01</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2</w:t>
            </w:r>
          </w:p>
        </w:tc>
        <w:tc>
          <w:tcPr>
            <w:tcW w:w="851" w:type="dxa"/>
            <w:vAlign w:val="center"/>
          </w:tcPr>
          <w:p>
            <w:pPr>
              <w:pStyle w:val="39"/>
              <w:spacing w:before="62" w:after="31"/>
              <w:rPr>
                <w:b w:val="0"/>
                <w:bCs w:val="0"/>
                <w:color w:val="auto"/>
                <w:sz w:val="20"/>
                <w:szCs w:val="20"/>
              </w:rPr>
            </w:pPr>
            <w:r>
              <w:rPr>
                <w:b w:val="0"/>
                <w:color w:val="auto"/>
                <w:sz w:val="20"/>
                <w:szCs w:val="32"/>
              </w:rPr>
              <w:t>1.2</w:t>
            </w:r>
          </w:p>
        </w:tc>
        <w:tc>
          <w:tcPr>
            <w:tcW w:w="1804" w:type="dxa"/>
            <w:vAlign w:val="center"/>
          </w:tcPr>
          <w:p>
            <w:pPr>
              <w:pStyle w:val="39"/>
              <w:spacing w:before="62" w:after="31"/>
              <w:rPr>
                <w:b w:val="0"/>
                <w:bCs w:val="0"/>
                <w:color w:val="auto"/>
                <w:sz w:val="20"/>
                <w:szCs w:val="20"/>
              </w:rPr>
            </w:pPr>
            <w:r>
              <w:rPr>
                <w:rFonts w:hint="eastAsia"/>
                <w:b w:val="0"/>
                <w:bCs w:val="0"/>
                <w:color w:val="auto"/>
                <w:sz w:val="20"/>
                <w:szCs w:val="20"/>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2</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破损废包装桶</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原料使用</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固态</w:t>
            </w:r>
          </w:p>
        </w:tc>
        <w:tc>
          <w:tcPr>
            <w:tcW w:w="1020" w:type="dxa"/>
            <w:vAlign w:val="center"/>
          </w:tcPr>
          <w:p>
            <w:pPr>
              <w:pStyle w:val="39"/>
              <w:spacing w:before="62" w:after="31"/>
              <w:rPr>
                <w:b w:val="0"/>
                <w:bCs w:val="0"/>
                <w:color w:val="auto"/>
                <w:sz w:val="20"/>
                <w:szCs w:val="20"/>
              </w:rPr>
            </w:pPr>
            <w:r>
              <w:rPr>
                <w:rFonts w:hint="eastAsia" w:eastAsia="宋体"/>
                <w:b w:val="0"/>
                <w:bCs w:val="0"/>
                <w:color w:val="auto"/>
                <w:sz w:val="20"/>
                <w:szCs w:val="20"/>
              </w:rPr>
              <w:t>塑料、胶水</w:t>
            </w:r>
          </w:p>
        </w:tc>
        <w:tc>
          <w:tcPr>
            <w:tcW w:w="1191"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危险废物</w:t>
            </w:r>
          </w:p>
          <w:p>
            <w:pPr>
              <w:pStyle w:val="39"/>
              <w:spacing w:before="62" w:after="31"/>
              <w:rPr>
                <w:b w:val="0"/>
                <w:bCs w:val="0"/>
                <w:color w:val="auto"/>
                <w:sz w:val="20"/>
                <w:szCs w:val="20"/>
              </w:rPr>
            </w:pPr>
            <w:r>
              <w:rPr>
                <w:b w:val="0"/>
                <w:bCs w:val="0"/>
                <w:color w:val="auto"/>
                <w:sz w:val="20"/>
                <w:szCs w:val="20"/>
              </w:rPr>
              <w:t>900-041-49</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1</w:t>
            </w:r>
          </w:p>
        </w:tc>
        <w:tc>
          <w:tcPr>
            <w:tcW w:w="851" w:type="dxa"/>
            <w:vAlign w:val="center"/>
          </w:tcPr>
          <w:p>
            <w:pPr>
              <w:pStyle w:val="39"/>
              <w:spacing w:before="62" w:after="31"/>
              <w:rPr>
                <w:b w:val="0"/>
                <w:bCs w:val="0"/>
                <w:color w:val="auto"/>
                <w:sz w:val="20"/>
                <w:szCs w:val="20"/>
              </w:rPr>
            </w:pPr>
            <w:r>
              <w:rPr>
                <w:rFonts w:hint="eastAsia"/>
                <w:b w:val="0"/>
                <w:color w:val="auto"/>
                <w:sz w:val="20"/>
                <w:szCs w:val="32"/>
              </w:rPr>
              <w:t>0</w:t>
            </w:r>
            <w:r>
              <w:rPr>
                <w:b w:val="0"/>
                <w:color w:val="auto"/>
                <w:sz w:val="20"/>
                <w:szCs w:val="32"/>
              </w:rPr>
              <w:t>.8</w:t>
            </w:r>
          </w:p>
        </w:tc>
        <w:tc>
          <w:tcPr>
            <w:tcW w:w="1804" w:type="dxa"/>
            <w:vMerge w:val="restart"/>
            <w:vAlign w:val="center"/>
          </w:tcPr>
          <w:p>
            <w:pPr>
              <w:pStyle w:val="39"/>
              <w:spacing w:before="62" w:after="31"/>
              <w:rPr>
                <w:b w:val="0"/>
                <w:bCs w:val="0"/>
                <w:color w:val="auto"/>
                <w:sz w:val="20"/>
                <w:szCs w:val="20"/>
              </w:rPr>
            </w:pPr>
            <w:r>
              <w:rPr>
                <w:rFonts w:hint="eastAsia"/>
                <w:b w:val="0"/>
                <w:bCs w:val="0"/>
                <w:color w:val="auto"/>
                <w:sz w:val="20"/>
                <w:szCs w:val="20"/>
              </w:rPr>
              <w:t>厂区内危废仓库暂存，委托嘉兴市桐源环境科技有限公司收集转运，最终由嘉兴市固体废物处置有限责任公司处置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3</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废活性炭</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废气处理</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固态</w:t>
            </w:r>
          </w:p>
        </w:tc>
        <w:tc>
          <w:tcPr>
            <w:tcW w:w="1020" w:type="dxa"/>
            <w:vAlign w:val="center"/>
          </w:tcPr>
          <w:p>
            <w:pPr>
              <w:pStyle w:val="39"/>
              <w:spacing w:before="62" w:after="31"/>
              <w:rPr>
                <w:b w:val="0"/>
                <w:bCs w:val="0"/>
                <w:color w:val="auto"/>
                <w:sz w:val="20"/>
                <w:szCs w:val="20"/>
              </w:rPr>
            </w:pPr>
            <w:r>
              <w:rPr>
                <w:rFonts w:hint="eastAsia" w:eastAsia="宋体"/>
                <w:b w:val="0"/>
                <w:bCs w:val="0"/>
                <w:color w:val="auto"/>
                <w:sz w:val="20"/>
                <w:szCs w:val="20"/>
              </w:rPr>
              <w:t>活性炭</w:t>
            </w:r>
          </w:p>
        </w:tc>
        <w:tc>
          <w:tcPr>
            <w:tcW w:w="1191"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危险废物</w:t>
            </w:r>
          </w:p>
          <w:p>
            <w:pPr>
              <w:pStyle w:val="39"/>
              <w:spacing w:before="62" w:after="31"/>
              <w:rPr>
                <w:b w:val="0"/>
                <w:bCs w:val="0"/>
                <w:color w:val="auto"/>
                <w:sz w:val="20"/>
                <w:szCs w:val="20"/>
              </w:rPr>
            </w:pPr>
            <w:r>
              <w:rPr>
                <w:rFonts w:hint="eastAsia"/>
                <w:b w:val="0"/>
                <w:bCs w:val="0"/>
                <w:color w:val="auto"/>
                <w:sz w:val="20"/>
                <w:szCs w:val="20"/>
              </w:rPr>
              <w:t>9</w:t>
            </w:r>
            <w:r>
              <w:rPr>
                <w:b w:val="0"/>
                <w:bCs w:val="0"/>
                <w:color w:val="auto"/>
                <w:sz w:val="20"/>
                <w:szCs w:val="20"/>
              </w:rPr>
              <w:t>00-039-49</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8</w:t>
            </w:r>
            <w:r>
              <w:rPr>
                <w:b w:val="0"/>
                <w:bCs w:val="0"/>
                <w:color w:val="auto"/>
                <w:sz w:val="20"/>
                <w:szCs w:val="20"/>
              </w:rPr>
              <w:t>.6</w:t>
            </w:r>
          </w:p>
        </w:tc>
        <w:tc>
          <w:tcPr>
            <w:tcW w:w="851" w:type="dxa"/>
            <w:vAlign w:val="center"/>
          </w:tcPr>
          <w:p>
            <w:pPr>
              <w:pStyle w:val="39"/>
              <w:spacing w:before="62" w:after="31"/>
              <w:rPr>
                <w:b w:val="0"/>
                <w:bCs w:val="0"/>
                <w:color w:val="auto"/>
                <w:sz w:val="20"/>
                <w:szCs w:val="20"/>
              </w:rPr>
            </w:pPr>
            <w:r>
              <w:rPr>
                <w:b w:val="0"/>
                <w:color w:val="auto"/>
                <w:sz w:val="20"/>
                <w:szCs w:val="32"/>
              </w:rPr>
              <w:t>3.2</w:t>
            </w:r>
          </w:p>
        </w:tc>
        <w:tc>
          <w:tcPr>
            <w:tcW w:w="1804" w:type="dxa"/>
            <w:vMerge w:val="continue"/>
            <w:vAlign w:val="center"/>
          </w:tcPr>
          <w:p>
            <w:pPr>
              <w:pStyle w:val="39"/>
              <w:spacing w:before="62" w:after="31"/>
              <w:rPr>
                <w:b w:val="0"/>
                <w:bCs w:val="0"/>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4</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废胶渣</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生产过程</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固态</w:t>
            </w:r>
          </w:p>
        </w:tc>
        <w:tc>
          <w:tcPr>
            <w:tcW w:w="1020" w:type="dxa"/>
            <w:vAlign w:val="center"/>
          </w:tcPr>
          <w:p>
            <w:pPr>
              <w:pStyle w:val="39"/>
              <w:spacing w:before="62" w:after="31"/>
              <w:rPr>
                <w:b w:val="0"/>
                <w:bCs w:val="0"/>
                <w:color w:val="auto"/>
                <w:sz w:val="20"/>
                <w:szCs w:val="20"/>
              </w:rPr>
            </w:pPr>
            <w:r>
              <w:rPr>
                <w:rFonts w:hint="eastAsia" w:eastAsia="宋体"/>
                <w:b w:val="0"/>
                <w:bCs w:val="0"/>
                <w:color w:val="auto"/>
                <w:sz w:val="20"/>
                <w:szCs w:val="20"/>
              </w:rPr>
              <w:t>胶渣</w:t>
            </w:r>
          </w:p>
        </w:tc>
        <w:tc>
          <w:tcPr>
            <w:tcW w:w="1191" w:type="dxa"/>
            <w:tcBorders>
              <w:top w:val="single" w:color="auto" w:sz="4" w:space="0"/>
              <w:left w:val="single" w:color="auto" w:sz="4" w:space="0"/>
              <w:bottom w:val="single" w:color="auto" w:sz="4" w:space="0"/>
              <w:right w:val="single" w:color="auto" w:sz="4" w:space="0"/>
            </w:tcBorders>
            <w:vAlign w:val="center"/>
          </w:tcPr>
          <w:p>
            <w:pPr>
              <w:pStyle w:val="43"/>
              <w:rPr>
                <w:color w:val="auto"/>
                <w:sz w:val="20"/>
                <w:szCs w:val="20"/>
              </w:rPr>
            </w:pPr>
            <w:r>
              <w:rPr>
                <w:rFonts w:hint="eastAsia"/>
                <w:color w:val="auto"/>
                <w:sz w:val="20"/>
                <w:szCs w:val="20"/>
              </w:rPr>
              <w:t>危险废物</w:t>
            </w:r>
          </w:p>
          <w:p>
            <w:pPr>
              <w:pStyle w:val="43"/>
              <w:rPr>
                <w:color w:val="auto"/>
                <w:sz w:val="20"/>
                <w:szCs w:val="20"/>
              </w:rPr>
            </w:pPr>
            <w:r>
              <w:rPr>
                <w:rFonts w:hint="eastAsia"/>
                <w:color w:val="auto"/>
                <w:sz w:val="20"/>
                <w:szCs w:val="20"/>
              </w:rPr>
              <w:t>9</w:t>
            </w:r>
            <w:r>
              <w:rPr>
                <w:color w:val="auto"/>
                <w:sz w:val="20"/>
                <w:szCs w:val="20"/>
              </w:rPr>
              <w:t>00-014-13</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1</w:t>
            </w:r>
            <w:r>
              <w:rPr>
                <w:b w:val="0"/>
                <w:bCs w:val="0"/>
                <w:color w:val="auto"/>
                <w:sz w:val="20"/>
                <w:szCs w:val="20"/>
              </w:rPr>
              <w:t>.2</w:t>
            </w:r>
          </w:p>
        </w:tc>
        <w:tc>
          <w:tcPr>
            <w:tcW w:w="851" w:type="dxa"/>
            <w:vAlign w:val="center"/>
          </w:tcPr>
          <w:p>
            <w:pPr>
              <w:pStyle w:val="39"/>
              <w:spacing w:before="62" w:after="31"/>
              <w:rPr>
                <w:b w:val="0"/>
                <w:bCs w:val="0"/>
                <w:color w:val="auto"/>
                <w:sz w:val="20"/>
                <w:szCs w:val="20"/>
              </w:rPr>
            </w:pPr>
            <w:r>
              <w:rPr>
                <w:b w:val="0"/>
                <w:color w:val="auto"/>
                <w:sz w:val="20"/>
                <w:szCs w:val="32"/>
              </w:rPr>
              <w:t>0.6</w:t>
            </w:r>
          </w:p>
        </w:tc>
        <w:tc>
          <w:tcPr>
            <w:tcW w:w="1804" w:type="dxa"/>
            <w:vMerge w:val="continue"/>
            <w:vAlign w:val="center"/>
          </w:tcPr>
          <w:p>
            <w:pPr>
              <w:pStyle w:val="39"/>
              <w:spacing w:before="62" w:after="31"/>
              <w:rPr>
                <w:b w:val="0"/>
                <w:bCs w:val="0"/>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5</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废胶水</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生产过程</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液态</w:t>
            </w:r>
          </w:p>
        </w:tc>
        <w:tc>
          <w:tcPr>
            <w:tcW w:w="1020" w:type="dxa"/>
            <w:vAlign w:val="center"/>
          </w:tcPr>
          <w:p>
            <w:pPr>
              <w:pStyle w:val="39"/>
              <w:spacing w:before="62" w:after="31"/>
              <w:rPr>
                <w:rFonts w:eastAsia="宋体"/>
                <w:b w:val="0"/>
                <w:bCs w:val="0"/>
                <w:color w:val="auto"/>
                <w:sz w:val="20"/>
                <w:szCs w:val="20"/>
              </w:rPr>
            </w:pPr>
            <w:r>
              <w:rPr>
                <w:rFonts w:hint="eastAsia" w:eastAsia="宋体"/>
                <w:b w:val="0"/>
                <w:bCs w:val="0"/>
                <w:color w:val="auto"/>
                <w:sz w:val="20"/>
                <w:szCs w:val="20"/>
              </w:rPr>
              <w:t>胶水</w:t>
            </w:r>
          </w:p>
        </w:tc>
        <w:tc>
          <w:tcPr>
            <w:tcW w:w="1191" w:type="dxa"/>
            <w:tcBorders>
              <w:top w:val="single" w:color="auto" w:sz="4" w:space="0"/>
              <w:left w:val="single" w:color="auto" w:sz="4" w:space="0"/>
              <w:bottom w:val="single" w:color="auto" w:sz="4" w:space="0"/>
              <w:right w:val="single" w:color="auto" w:sz="4" w:space="0"/>
            </w:tcBorders>
            <w:vAlign w:val="center"/>
          </w:tcPr>
          <w:p>
            <w:pPr>
              <w:pStyle w:val="43"/>
              <w:rPr>
                <w:color w:val="auto"/>
                <w:sz w:val="20"/>
                <w:szCs w:val="20"/>
              </w:rPr>
            </w:pPr>
            <w:r>
              <w:rPr>
                <w:rFonts w:hint="eastAsia"/>
                <w:color w:val="auto"/>
                <w:sz w:val="20"/>
                <w:szCs w:val="20"/>
              </w:rPr>
              <w:t>危险废物</w:t>
            </w:r>
          </w:p>
          <w:p>
            <w:pPr>
              <w:pStyle w:val="43"/>
              <w:rPr>
                <w:color w:val="auto"/>
                <w:sz w:val="20"/>
                <w:szCs w:val="20"/>
              </w:rPr>
            </w:pPr>
            <w:r>
              <w:rPr>
                <w:rFonts w:hint="eastAsia"/>
                <w:color w:val="auto"/>
                <w:sz w:val="20"/>
                <w:szCs w:val="20"/>
              </w:rPr>
              <w:t>9</w:t>
            </w:r>
            <w:r>
              <w:rPr>
                <w:color w:val="auto"/>
                <w:sz w:val="20"/>
                <w:szCs w:val="20"/>
              </w:rPr>
              <w:t>00-014-13</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3</w:t>
            </w:r>
            <w:r>
              <w:rPr>
                <w:b w:val="0"/>
                <w:bCs w:val="0"/>
                <w:color w:val="auto"/>
                <w:sz w:val="20"/>
                <w:szCs w:val="20"/>
              </w:rPr>
              <w:t>.7</w:t>
            </w:r>
          </w:p>
        </w:tc>
        <w:tc>
          <w:tcPr>
            <w:tcW w:w="851" w:type="dxa"/>
            <w:vAlign w:val="center"/>
          </w:tcPr>
          <w:p>
            <w:pPr>
              <w:pStyle w:val="39"/>
              <w:spacing w:before="62" w:after="31"/>
              <w:rPr>
                <w:b w:val="0"/>
                <w:bCs w:val="0"/>
                <w:color w:val="auto"/>
                <w:sz w:val="20"/>
                <w:szCs w:val="20"/>
              </w:rPr>
            </w:pPr>
            <w:r>
              <w:rPr>
                <w:rFonts w:hint="eastAsia"/>
                <w:b w:val="0"/>
                <w:bCs w:val="0"/>
                <w:color w:val="auto"/>
                <w:sz w:val="20"/>
                <w:szCs w:val="20"/>
              </w:rPr>
              <w:t>3</w:t>
            </w:r>
            <w:r>
              <w:rPr>
                <w:b w:val="0"/>
                <w:bCs w:val="0"/>
                <w:color w:val="auto"/>
                <w:sz w:val="20"/>
                <w:szCs w:val="20"/>
              </w:rPr>
              <w:t>.4</w:t>
            </w:r>
          </w:p>
        </w:tc>
        <w:tc>
          <w:tcPr>
            <w:tcW w:w="1804" w:type="dxa"/>
            <w:vMerge w:val="continue"/>
            <w:vAlign w:val="center"/>
          </w:tcPr>
          <w:p>
            <w:pPr>
              <w:pStyle w:val="39"/>
              <w:spacing w:before="62" w:after="31"/>
              <w:rPr>
                <w:b w:val="0"/>
                <w:bCs w:val="0"/>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6</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废抹布</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生产过程</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固态</w:t>
            </w:r>
          </w:p>
        </w:tc>
        <w:tc>
          <w:tcPr>
            <w:tcW w:w="1020" w:type="dxa"/>
            <w:vAlign w:val="center"/>
          </w:tcPr>
          <w:p>
            <w:pPr>
              <w:pStyle w:val="39"/>
              <w:spacing w:before="62" w:after="31"/>
              <w:rPr>
                <w:rFonts w:eastAsia="宋体"/>
                <w:b w:val="0"/>
                <w:bCs w:val="0"/>
                <w:color w:val="auto"/>
                <w:sz w:val="20"/>
                <w:szCs w:val="20"/>
              </w:rPr>
            </w:pPr>
            <w:r>
              <w:rPr>
                <w:rFonts w:hint="eastAsia" w:eastAsia="宋体"/>
                <w:b w:val="0"/>
                <w:bCs w:val="0"/>
                <w:color w:val="auto"/>
                <w:sz w:val="20"/>
                <w:szCs w:val="20"/>
              </w:rPr>
              <w:t>胶水、纤维</w:t>
            </w:r>
          </w:p>
        </w:tc>
        <w:tc>
          <w:tcPr>
            <w:tcW w:w="1191" w:type="dxa"/>
            <w:tcBorders>
              <w:top w:val="single" w:color="auto" w:sz="4" w:space="0"/>
              <w:left w:val="single" w:color="auto" w:sz="4" w:space="0"/>
              <w:bottom w:val="single" w:color="auto" w:sz="4" w:space="0"/>
              <w:right w:val="single" w:color="auto" w:sz="4" w:space="0"/>
            </w:tcBorders>
            <w:vAlign w:val="center"/>
          </w:tcPr>
          <w:p>
            <w:pPr>
              <w:pStyle w:val="43"/>
              <w:rPr>
                <w:color w:val="auto"/>
                <w:sz w:val="20"/>
                <w:szCs w:val="20"/>
              </w:rPr>
            </w:pPr>
            <w:r>
              <w:rPr>
                <w:rFonts w:hint="eastAsia"/>
                <w:color w:val="auto"/>
                <w:sz w:val="20"/>
                <w:szCs w:val="20"/>
              </w:rPr>
              <w:t>危险废物</w:t>
            </w:r>
          </w:p>
          <w:p>
            <w:pPr>
              <w:pStyle w:val="43"/>
              <w:rPr>
                <w:color w:val="auto"/>
                <w:sz w:val="20"/>
                <w:szCs w:val="20"/>
              </w:rPr>
            </w:pPr>
            <w:r>
              <w:rPr>
                <w:rFonts w:hint="eastAsia"/>
                <w:color w:val="auto"/>
                <w:sz w:val="20"/>
                <w:szCs w:val="20"/>
              </w:rPr>
              <w:t>9</w:t>
            </w:r>
            <w:r>
              <w:rPr>
                <w:color w:val="auto"/>
                <w:sz w:val="20"/>
                <w:szCs w:val="20"/>
              </w:rPr>
              <w:t>00-041-49</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0</w:t>
            </w:r>
            <w:r>
              <w:rPr>
                <w:b w:val="0"/>
                <w:bCs w:val="0"/>
                <w:color w:val="auto"/>
                <w:sz w:val="20"/>
                <w:szCs w:val="20"/>
              </w:rPr>
              <w:t>.2</w:t>
            </w:r>
          </w:p>
        </w:tc>
        <w:tc>
          <w:tcPr>
            <w:tcW w:w="851" w:type="dxa"/>
            <w:vAlign w:val="center"/>
          </w:tcPr>
          <w:p>
            <w:pPr>
              <w:pStyle w:val="39"/>
              <w:spacing w:before="62" w:after="31"/>
              <w:rPr>
                <w:b w:val="0"/>
                <w:bCs w:val="0"/>
                <w:color w:val="auto"/>
                <w:sz w:val="20"/>
                <w:szCs w:val="20"/>
              </w:rPr>
            </w:pPr>
            <w:r>
              <w:rPr>
                <w:b w:val="0"/>
                <w:bCs w:val="0"/>
                <w:color w:val="auto"/>
                <w:sz w:val="20"/>
                <w:szCs w:val="20"/>
              </w:rPr>
              <w:t>0.1</w:t>
            </w:r>
          </w:p>
        </w:tc>
        <w:tc>
          <w:tcPr>
            <w:tcW w:w="1804" w:type="dxa"/>
            <w:vMerge w:val="continue"/>
            <w:vAlign w:val="center"/>
          </w:tcPr>
          <w:p>
            <w:pPr>
              <w:pStyle w:val="39"/>
              <w:spacing w:before="62" w:after="31"/>
              <w:rPr>
                <w:b w:val="0"/>
                <w:bCs w:val="0"/>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7</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油泥</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污水处理</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半固态</w:t>
            </w:r>
          </w:p>
        </w:tc>
        <w:tc>
          <w:tcPr>
            <w:tcW w:w="1020" w:type="dxa"/>
            <w:vAlign w:val="center"/>
          </w:tcPr>
          <w:p>
            <w:pPr>
              <w:pStyle w:val="39"/>
              <w:spacing w:before="62" w:after="31"/>
              <w:rPr>
                <w:rFonts w:eastAsia="宋体"/>
                <w:b w:val="0"/>
                <w:bCs w:val="0"/>
                <w:color w:val="auto"/>
                <w:sz w:val="20"/>
                <w:szCs w:val="20"/>
              </w:rPr>
            </w:pPr>
            <w:r>
              <w:rPr>
                <w:rFonts w:eastAsia="宋体"/>
                <w:b w:val="0"/>
                <w:bCs w:val="0"/>
                <w:color w:val="auto"/>
                <w:sz w:val="20"/>
                <w:szCs w:val="20"/>
              </w:rPr>
              <w:t>机械油</w:t>
            </w:r>
          </w:p>
        </w:tc>
        <w:tc>
          <w:tcPr>
            <w:tcW w:w="1191" w:type="dxa"/>
            <w:tcBorders>
              <w:top w:val="single" w:color="auto" w:sz="4" w:space="0"/>
              <w:left w:val="single" w:color="auto" w:sz="4" w:space="0"/>
              <w:bottom w:val="single" w:color="auto" w:sz="4" w:space="0"/>
              <w:right w:val="single" w:color="auto" w:sz="4" w:space="0"/>
            </w:tcBorders>
            <w:vAlign w:val="center"/>
          </w:tcPr>
          <w:p>
            <w:pPr>
              <w:pStyle w:val="43"/>
              <w:rPr>
                <w:color w:val="auto"/>
                <w:sz w:val="20"/>
                <w:szCs w:val="20"/>
              </w:rPr>
            </w:pPr>
            <w:r>
              <w:rPr>
                <w:color w:val="auto"/>
                <w:sz w:val="20"/>
                <w:szCs w:val="20"/>
              </w:rPr>
              <w:t>危险废物</w:t>
            </w:r>
            <w:r>
              <w:rPr>
                <w:rFonts w:hint="eastAsia"/>
                <w:color w:val="auto"/>
                <w:sz w:val="20"/>
                <w:szCs w:val="20"/>
              </w:rPr>
              <w:t>9</w:t>
            </w:r>
            <w:r>
              <w:rPr>
                <w:color w:val="auto"/>
                <w:sz w:val="20"/>
                <w:szCs w:val="20"/>
              </w:rPr>
              <w:t>00-210-08</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1</w:t>
            </w:r>
            <w:r>
              <w:rPr>
                <w:b w:val="0"/>
                <w:bCs w:val="0"/>
                <w:color w:val="auto"/>
                <w:sz w:val="20"/>
                <w:szCs w:val="20"/>
              </w:rPr>
              <w:t>.484</w:t>
            </w:r>
          </w:p>
        </w:tc>
        <w:tc>
          <w:tcPr>
            <w:tcW w:w="851" w:type="dxa"/>
            <w:vAlign w:val="center"/>
          </w:tcPr>
          <w:p>
            <w:pPr>
              <w:pStyle w:val="39"/>
              <w:spacing w:before="62" w:after="31"/>
              <w:rPr>
                <w:b w:val="0"/>
                <w:bCs w:val="0"/>
                <w:color w:val="auto"/>
                <w:sz w:val="20"/>
                <w:szCs w:val="20"/>
              </w:rPr>
            </w:pPr>
            <w:r>
              <w:rPr>
                <w:rFonts w:hint="eastAsia"/>
                <w:b w:val="0"/>
                <w:bCs w:val="0"/>
                <w:color w:val="auto"/>
                <w:sz w:val="20"/>
                <w:szCs w:val="20"/>
              </w:rPr>
              <w:t>0</w:t>
            </w:r>
            <w:r>
              <w:rPr>
                <w:b w:val="0"/>
                <w:bCs w:val="0"/>
                <w:color w:val="auto"/>
                <w:sz w:val="20"/>
                <w:szCs w:val="20"/>
              </w:rPr>
              <w:t>.5</w:t>
            </w:r>
          </w:p>
        </w:tc>
        <w:tc>
          <w:tcPr>
            <w:tcW w:w="1804" w:type="dxa"/>
            <w:vMerge w:val="continue"/>
            <w:vAlign w:val="center"/>
          </w:tcPr>
          <w:p>
            <w:pPr>
              <w:pStyle w:val="39"/>
              <w:spacing w:before="62" w:after="31"/>
              <w:rPr>
                <w:b w:val="0"/>
                <w:bCs w:val="0"/>
                <w:color w:val="auto"/>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2" w:type="dxa"/>
            <w:vAlign w:val="center"/>
          </w:tcPr>
          <w:p>
            <w:pPr>
              <w:pStyle w:val="39"/>
              <w:spacing w:before="62" w:after="31"/>
              <w:rPr>
                <w:b w:val="0"/>
                <w:bCs w:val="0"/>
                <w:color w:val="auto"/>
                <w:sz w:val="20"/>
                <w:szCs w:val="20"/>
              </w:rPr>
            </w:pPr>
            <w:r>
              <w:rPr>
                <w:b w:val="0"/>
                <w:bCs w:val="0"/>
                <w:color w:val="auto"/>
                <w:sz w:val="20"/>
                <w:szCs w:val="20"/>
              </w:rPr>
              <w:t>8</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b w:val="0"/>
                <w:bCs w:val="0"/>
                <w:color w:val="auto"/>
                <w:sz w:val="20"/>
                <w:szCs w:val="20"/>
              </w:rPr>
              <w:t>污泥</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污水处理</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半固态</w:t>
            </w:r>
          </w:p>
        </w:tc>
        <w:tc>
          <w:tcPr>
            <w:tcW w:w="1020" w:type="dxa"/>
            <w:vAlign w:val="center"/>
          </w:tcPr>
          <w:p>
            <w:pPr>
              <w:pStyle w:val="39"/>
              <w:spacing w:before="62" w:after="31"/>
              <w:rPr>
                <w:rFonts w:eastAsia="宋体"/>
                <w:b w:val="0"/>
                <w:bCs w:val="0"/>
                <w:color w:val="auto"/>
                <w:sz w:val="20"/>
                <w:szCs w:val="20"/>
              </w:rPr>
            </w:pPr>
            <w:r>
              <w:rPr>
                <w:rFonts w:hint="eastAsia" w:eastAsia="宋体"/>
                <w:b w:val="0"/>
                <w:bCs w:val="0"/>
                <w:color w:val="auto"/>
                <w:sz w:val="20"/>
                <w:szCs w:val="20"/>
              </w:rPr>
              <w:t>污泥</w:t>
            </w:r>
          </w:p>
        </w:tc>
        <w:tc>
          <w:tcPr>
            <w:tcW w:w="1191" w:type="dxa"/>
            <w:tcBorders>
              <w:top w:val="single" w:color="auto" w:sz="4" w:space="0"/>
              <w:left w:val="single" w:color="auto" w:sz="4" w:space="0"/>
              <w:bottom w:val="single" w:color="auto" w:sz="4" w:space="0"/>
              <w:right w:val="single" w:color="auto" w:sz="4" w:space="0"/>
            </w:tcBorders>
            <w:vAlign w:val="center"/>
          </w:tcPr>
          <w:p>
            <w:pPr>
              <w:pStyle w:val="43"/>
              <w:rPr>
                <w:color w:val="auto"/>
                <w:sz w:val="20"/>
                <w:szCs w:val="20"/>
              </w:rPr>
            </w:pPr>
            <w:r>
              <w:rPr>
                <w:rFonts w:hint="eastAsia"/>
                <w:color w:val="auto"/>
                <w:sz w:val="20"/>
                <w:szCs w:val="20"/>
              </w:rPr>
              <w:t>一般固废</w:t>
            </w:r>
          </w:p>
          <w:p>
            <w:pPr>
              <w:ind w:firstLine="0" w:firstLineChars="0"/>
              <w:rPr>
                <w:kern w:val="0"/>
                <w:sz w:val="20"/>
                <w:szCs w:val="20"/>
              </w:rPr>
            </w:pPr>
            <w:r>
              <w:rPr>
                <w:rFonts w:hint="eastAsia"/>
                <w:kern w:val="0"/>
                <w:sz w:val="20"/>
                <w:szCs w:val="20"/>
              </w:rPr>
              <w:t>9</w:t>
            </w:r>
            <w:r>
              <w:rPr>
                <w:kern w:val="0"/>
                <w:sz w:val="20"/>
                <w:szCs w:val="20"/>
              </w:rPr>
              <w:t>00-999-61</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1</w:t>
            </w:r>
            <w:r>
              <w:rPr>
                <w:b w:val="0"/>
                <w:bCs w:val="0"/>
                <w:color w:val="auto"/>
                <w:sz w:val="20"/>
                <w:szCs w:val="20"/>
              </w:rPr>
              <w:t>4</w:t>
            </w:r>
          </w:p>
        </w:tc>
        <w:tc>
          <w:tcPr>
            <w:tcW w:w="851" w:type="dxa"/>
            <w:vAlign w:val="center"/>
          </w:tcPr>
          <w:p>
            <w:pPr>
              <w:pStyle w:val="39"/>
              <w:spacing w:before="62" w:after="31"/>
              <w:rPr>
                <w:b w:val="0"/>
                <w:bCs w:val="0"/>
                <w:color w:val="auto"/>
                <w:sz w:val="20"/>
                <w:szCs w:val="20"/>
              </w:rPr>
            </w:pPr>
            <w:r>
              <w:rPr>
                <w:b w:val="0"/>
                <w:bCs w:val="0"/>
                <w:color w:val="auto"/>
                <w:sz w:val="20"/>
                <w:szCs w:val="20"/>
              </w:rPr>
              <w:t>9</w:t>
            </w:r>
          </w:p>
        </w:tc>
        <w:tc>
          <w:tcPr>
            <w:tcW w:w="1804" w:type="dxa"/>
            <w:vAlign w:val="center"/>
          </w:tcPr>
          <w:p>
            <w:pPr>
              <w:pStyle w:val="39"/>
              <w:spacing w:before="62" w:after="31"/>
              <w:rPr>
                <w:b w:val="0"/>
                <w:bCs w:val="0"/>
                <w:color w:val="auto"/>
                <w:sz w:val="20"/>
                <w:szCs w:val="20"/>
              </w:rPr>
            </w:pPr>
            <w:r>
              <w:rPr>
                <w:rFonts w:hint="eastAsia"/>
                <w:b w:val="0"/>
                <w:bCs w:val="0"/>
                <w:color w:val="auto"/>
                <w:sz w:val="20"/>
                <w:szCs w:val="20"/>
              </w:rPr>
              <w:t>委托浙江景顺环保能源有限公司处置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2" w:type="dxa"/>
            <w:vAlign w:val="center"/>
          </w:tcPr>
          <w:p>
            <w:pPr>
              <w:pStyle w:val="39"/>
              <w:spacing w:before="62" w:after="31"/>
              <w:rPr>
                <w:b w:val="0"/>
                <w:bCs w:val="0"/>
                <w:color w:val="auto"/>
                <w:sz w:val="20"/>
                <w:szCs w:val="20"/>
              </w:rPr>
            </w:pPr>
            <w:r>
              <w:rPr>
                <w:rFonts w:hint="eastAsia"/>
                <w:b w:val="0"/>
                <w:bCs w:val="0"/>
                <w:color w:val="auto"/>
                <w:sz w:val="20"/>
                <w:szCs w:val="20"/>
              </w:rPr>
              <w:t>9</w:t>
            </w:r>
          </w:p>
        </w:tc>
        <w:tc>
          <w:tcPr>
            <w:tcW w:w="1020"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生活垃圾</w:t>
            </w:r>
          </w:p>
        </w:tc>
        <w:tc>
          <w:tcPr>
            <w:tcW w:w="1077"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职工生活</w:t>
            </w:r>
          </w:p>
        </w:tc>
        <w:tc>
          <w:tcPr>
            <w:tcW w:w="709"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固态</w:t>
            </w:r>
          </w:p>
        </w:tc>
        <w:tc>
          <w:tcPr>
            <w:tcW w:w="1020" w:type="dxa"/>
            <w:vAlign w:val="center"/>
          </w:tcPr>
          <w:p>
            <w:pPr>
              <w:pStyle w:val="39"/>
              <w:spacing w:before="62" w:after="31"/>
              <w:rPr>
                <w:b w:val="0"/>
                <w:bCs w:val="0"/>
                <w:color w:val="auto"/>
                <w:sz w:val="20"/>
                <w:szCs w:val="20"/>
              </w:rPr>
            </w:pPr>
            <w:r>
              <w:rPr>
                <w:rFonts w:hint="eastAsia" w:eastAsia="宋体"/>
                <w:b w:val="0"/>
                <w:bCs w:val="0"/>
                <w:color w:val="auto"/>
                <w:sz w:val="20"/>
                <w:szCs w:val="20"/>
              </w:rPr>
              <w:t>生活垃圾</w:t>
            </w:r>
          </w:p>
        </w:tc>
        <w:tc>
          <w:tcPr>
            <w:tcW w:w="1191" w:type="dxa"/>
            <w:tcBorders>
              <w:top w:val="single" w:color="auto" w:sz="4" w:space="0"/>
              <w:left w:val="single" w:color="auto" w:sz="4" w:space="0"/>
              <w:bottom w:val="single" w:color="auto" w:sz="4" w:space="0"/>
              <w:right w:val="single" w:color="auto" w:sz="4" w:space="0"/>
            </w:tcBorders>
            <w:vAlign w:val="center"/>
          </w:tcPr>
          <w:p>
            <w:pPr>
              <w:pStyle w:val="39"/>
              <w:spacing w:before="62" w:after="31"/>
              <w:rPr>
                <w:b w:val="0"/>
                <w:bCs w:val="0"/>
                <w:color w:val="auto"/>
                <w:sz w:val="20"/>
                <w:szCs w:val="20"/>
              </w:rPr>
            </w:pPr>
            <w:r>
              <w:rPr>
                <w:rFonts w:hint="eastAsia"/>
                <w:b w:val="0"/>
                <w:bCs w:val="0"/>
                <w:color w:val="auto"/>
                <w:sz w:val="20"/>
                <w:szCs w:val="20"/>
              </w:rPr>
              <w:t>一般固废</w:t>
            </w:r>
          </w:p>
        </w:tc>
        <w:tc>
          <w:tcPr>
            <w:tcW w:w="1020" w:type="dxa"/>
            <w:vAlign w:val="center"/>
          </w:tcPr>
          <w:p>
            <w:pPr>
              <w:pStyle w:val="39"/>
              <w:spacing w:before="62" w:after="31"/>
              <w:rPr>
                <w:b w:val="0"/>
                <w:bCs w:val="0"/>
                <w:color w:val="auto"/>
                <w:sz w:val="20"/>
                <w:szCs w:val="20"/>
              </w:rPr>
            </w:pPr>
            <w:r>
              <w:rPr>
                <w:rFonts w:hint="eastAsia"/>
                <w:b w:val="0"/>
                <w:bCs w:val="0"/>
                <w:color w:val="auto"/>
                <w:sz w:val="20"/>
                <w:szCs w:val="20"/>
              </w:rPr>
              <w:t>9</w:t>
            </w:r>
            <w:r>
              <w:rPr>
                <w:b w:val="0"/>
                <w:bCs w:val="0"/>
                <w:color w:val="auto"/>
                <w:sz w:val="20"/>
                <w:szCs w:val="20"/>
              </w:rPr>
              <w:t>.75</w:t>
            </w:r>
          </w:p>
        </w:tc>
        <w:tc>
          <w:tcPr>
            <w:tcW w:w="851" w:type="dxa"/>
            <w:vAlign w:val="center"/>
          </w:tcPr>
          <w:p>
            <w:pPr>
              <w:pStyle w:val="39"/>
              <w:spacing w:before="62" w:after="31"/>
              <w:rPr>
                <w:b w:val="0"/>
                <w:bCs w:val="0"/>
                <w:color w:val="auto"/>
                <w:sz w:val="20"/>
                <w:szCs w:val="20"/>
              </w:rPr>
            </w:pPr>
            <w:r>
              <w:rPr>
                <w:rFonts w:hint="eastAsia"/>
                <w:b w:val="0"/>
                <w:bCs w:val="0"/>
                <w:color w:val="auto"/>
                <w:sz w:val="20"/>
                <w:szCs w:val="20"/>
              </w:rPr>
              <w:t>6</w:t>
            </w:r>
            <w:r>
              <w:rPr>
                <w:b w:val="0"/>
                <w:bCs w:val="0"/>
                <w:color w:val="auto"/>
                <w:sz w:val="20"/>
                <w:szCs w:val="20"/>
              </w:rPr>
              <w:t>.0</w:t>
            </w:r>
          </w:p>
        </w:tc>
        <w:tc>
          <w:tcPr>
            <w:tcW w:w="1804" w:type="dxa"/>
            <w:vAlign w:val="center"/>
          </w:tcPr>
          <w:p>
            <w:pPr>
              <w:pStyle w:val="39"/>
              <w:spacing w:before="62" w:after="31"/>
              <w:rPr>
                <w:b w:val="0"/>
                <w:bCs w:val="0"/>
                <w:color w:val="auto"/>
                <w:sz w:val="20"/>
                <w:szCs w:val="20"/>
              </w:rPr>
            </w:pPr>
            <w:r>
              <w:rPr>
                <w:rFonts w:hint="eastAsia"/>
                <w:b w:val="0"/>
                <w:bCs w:val="0"/>
                <w:color w:val="auto"/>
                <w:sz w:val="20"/>
                <w:szCs w:val="20"/>
              </w:rPr>
              <w:t>委托环卫部门统一清运</w:t>
            </w:r>
          </w:p>
        </w:tc>
      </w:tr>
    </w:tbl>
    <w:p>
      <w:pPr>
        <w:spacing w:before="156" w:beforeLines="50"/>
        <w:ind w:firstLine="480"/>
      </w:pPr>
      <w:bookmarkStart w:id="121" w:name="_Hlk81898776"/>
      <w:r>
        <w:rPr>
          <w:rFonts w:hint="eastAsia"/>
        </w:rPr>
        <w:t>固体废物的贮存和处置满足《中华人民共和国固体废物污染环境防治法（2020年修正）》、《浙江省固体废物污染环境防治条例》以及《一般工业固体废物贮存和填埋污染控制标准》（GB18599-2020）中相应防渗漏、防雨淋、防扬尘等环境保护要求的有关规定</w:t>
      </w:r>
      <w:bookmarkEnd w:id="121"/>
      <w:r>
        <w:t>。</w:t>
      </w:r>
    </w:p>
    <w:p>
      <w:pPr>
        <w:ind w:firstLine="480"/>
      </w:pPr>
      <w:r>
        <w:rPr>
          <w:rFonts w:hint="eastAsia"/>
        </w:rPr>
        <w:t>危险废物的贮存和处置还满足GB18597-2001《危险废物贮存污染控制标准（2013年修正）》中的相关规定。</w:t>
      </w:r>
    </w:p>
    <w:p>
      <w:pPr>
        <w:pStyle w:val="6"/>
      </w:pPr>
      <w:bookmarkStart w:id="122" w:name="_Toc81808422"/>
      <w:bookmarkStart w:id="123" w:name="_Toc81808534"/>
      <w:r>
        <w:rPr>
          <w:rFonts w:hint="eastAsia"/>
        </w:rPr>
        <w:t>9.2.</w:t>
      </w:r>
      <w:r>
        <w:t>5污染物总量核算</w:t>
      </w:r>
      <w:bookmarkEnd w:id="122"/>
      <w:bookmarkEnd w:id="123"/>
    </w:p>
    <w:p>
      <w:pPr>
        <w:ind w:firstLine="480"/>
        <w:rPr>
          <w:rFonts w:cs="Times New Roman"/>
        </w:rPr>
      </w:pPr>
      <w:r>
        <w:rPr>
          <w:rFonts w:cs="Times New Roman"/>
          <w:bCs/>
        </w:rPr>
        <w:t>本项目总量控制指标主要为</w:t>
      </w:r>
      <w:r>
        <w:rPr>
          <w:rFonts w:eastAsia="宋体" w:cs="Times New Roman"/>
        </w:rPr>
        <w:t>COD</w:t>
      </w:r>
      <w:r>
        <w:rPr>
          <w:rFonts w:eastAsia="宋体" w:cs="Times New Roman"/>
          <w:vertAlign w:val="subscript"/>
        </w:rPr>
        <w:t>Cr</w:t>
      </w:r>
      <w:r>
        <w:rPr>
          <w:rFonts w:hint="eastAsia"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、颗粒物、SO</w:t>
      </w:r>
      <w:r>
        <w:rPr>
          <w:rFonts w:eastAsia="宋体" w:cs="Times New Roman"/>
          <w:vertAlign w:val="subscript"/>
        </w:rPr>
        <w:t>2</w:t>
      </w:r>
      <w:r>
        <w:rPr>
          <w:rFonts w:hint="eastAsia" w:eastAsia="宋体" w:cs="Times New Roman"/>
        </w:rPr>
        <w:t>、NOx、挥发性有机物（VOCs）</w:t>
      </w:r>
      <w:r>
        <w:rPr>
          <w:rFonts w:hint="eastAsia" w:cs="Times New Roman"/>
        </w:rPr>
        <w:t>。</w:t>
      </w:r>
    </w:p>
    <w:p>
      <w:pPr>
        <w:ind w:firstLine="480"/>
        <w:rPr>
          <w:rFonts w:cs="Times New Roman"/>
        </w:rPr>
      </w:pPr>
      <w:r>
        <w:rPr>
          <w:rFonts w:hint="eastAsia" w:cs="Times New Roman"/>
        </w:rPr>
        <w:t>1、废水污染物年排放总量核算</w:t>
      </w:r>
    </w:p>
    <w:p>
      <w:pPr>
        <w:ind w:firstLine="480"/>
      </w:pPr>
      <w:r>
        <w:rPr>
          <w:rFonts w:hint="eastAsia" w:cs="Times New Roman"/>
        </w:rPr>
        <w:t>我公司生产废水经污水处理站处理后与生活污水一并纳入园区污水管网，</w:t>
      </w:r>
      <w:r>
        <w:rPr>
          <w:rFonts w:cs="Times New Roman"/>
        </w:rPr>
        <w:t>废水排放总量</w:t>
      </w:r>
      <w:r>
        <w:rPr>
          <w:rFonts w:hint="eastAsia" w:cs="Times New Roman"/>
        </w:rPr>
        <w:t>约</w:t>
      </w:r>
      <w:r>
        <w:rPr>
          <w:rFonts w:cs="Times New Roman"/>
        </w:rPr>
        <w:t>为2138</w:t>
      </w:r>
      <w:r>
        <w:rPr>
          <w:rFonts w:hint="eastAsia" w:cs="Times New Roman"/>
        </w:rPr>
        <w:t>t</w:t>
      </w:r>
      <w:r>
        <w:rPr>
          <w:rFonts w:cs="Times New Roman"/>
        </w:rPr>
        <w:t>/a，入网废水经</w:t>
      </w:r>
      <w:r>
        <w:rPr>
          <w:rFonts w:hint="eastAsia" w:cs="Times New Roman"/>
        </w:rPr>
        <w:t>桐乡市城市污水处理有限责任公司</w:t>
      </w:r>
      <w:r>
        <w:rPr>
          <w:rFonts w:cs="Times New Roman"/>
        </w:rPr>
        <w:t>集中处理后达标排放，</w:t>
      </w:r>
      <w:r>
        <w:rPr>
          <w:rFonts w:hint="eastAsia" w:eastAsia="宋体" w:cs="Times New Roman"/>
        </w:rPr>
        <w:t>排放</w:t>
      </w:r>
      <w:r>
        <w:rPr>
          <w:rFonts w:eastAsia="宋体" w:cs="Times New Roman"/>
        </w:rPr>
        <w:t>标准为</w:t>
      </w:r>
      <w:r>
        <w:rPr>
          <w:rFonts w:hint="eastAsia" w:eastAsia="宋体" w:cs="Times New Roman"/>
        </w:rPr>
        <w:t>《城镇污水处理厂污染物排放标准》（GB</w:t>
      </w:r>
      <w:r>
        <w:rPr>
          <w:rFonts w:eastAsia="宋体" w:cs="Times New Roman"/>
        </w:rPr>
        <w:t>18918-2002</w:t>
      </w:r>
      <w:r>
        <w:rPr>
          <w:rFonts w:hint="eastAsia" w:eastAsia="宋体" w:cs="Times New Roman"/>
        </w:rPr>
        <w:t>）表1中一级A标准（即</w:t>
      </w:r>
      <w:r>
        <w:rPr>
          <w:rFonts w:eastAsia="宋体" w:cs="Times New Roman"/>
        </w:rPr>
        <w:t>COD</w:t>
      </w:r>
      <w:r>
        <w:rPr>
          <w:rFonts w:eastAsia="宋体" w:cs="Times New Roman"/>
          <w:vertAlign w:val="subscript"/>
        </w:rPr>
        <w:t>Cr</w:t>
      </w:r>
      <w:r>
        <w:rPr>
          <w:rFonts w:eastAsia="宋体" w:cs="Times New Roman"/>
        </w:rPr>
        <w:t>≤</w:t>
      </w:r>
      <w:r>
        <w:rPr>
          <w:rFonts w:cs="Times New Roman"/>
        </w:rPr>
        <w:t>50</w:t>
      </w:r>
      <w:r>
        <w:rPr>
          <w:rFonts w:eastAsia="宋体" w:cs="Times New Roman"/>
        </w:rPr>
        <w:t>mg/L、NH</w:t>
      </w:r>
      <w:r>
        <w:rPr>
          <w:rFonts w:eastAsia="宋体" w:cs="Times New Roman"/>
          <w:vertAlign w:val="subscript"/>
        </w:rPr>
        <w:t>3</w:t>
      </w:r>
      <w:r>
        <w:rPr>
          <w:rFonts w:eastAsia="宋体" w:cs="Times New Roman"/>
        </w:rPr>
        <w:t>-N≤</w:t>
      </w:r>
      <w:r>
        <w:rPr>
          <w:rFonts w:cs="Times New Roman"/>
        </w:rPr>
        <w:t>5</w:t>
      </w:r>
      <w:r>
        <w:rPr>
          <w:rFonts w:eastAsia="宋体" w:cs="Times New Roman"/>
        </w:rPr>
        <w:t>mg/L</w:t>
      </w:r>
      <w:r>
        <w:rPr>
          <w:rFonts w:hint="eastAsia" w:eastAsia="宋体" w:cs="Times New Roman"/>
        </w:rPr>
        <w:t>）</w:t>
      </w:r>
      <w:r>
        <w:rPr>
          <w:rFonts w:eastAsia="宋体" w:cs="Times New Roman"/>
        </w:rPr>
        <w:t>，</w:t>
      </w:r>
      <w:r>
        <w:rPr>
          <w:rFonts w:cs="Times New Roman"/>
        </w:rPr>
        <w:t>则</w:t>
      </w:r>
      <w:r>
        <w:rPr>
          <w:rFonts w:hint="eastAsia" w:cs="Times New Roman"/>
        </w:rPr>
        <w:t>公司水污染物</w:t>
      </w:r>
      <w:r>
        <w:rPr>
          <w:rFonts w:cs="Times New Roman"/>
        </w:rPr>
        <w:t>排入外环境的总量分别是：</w:t>
      </w:r>
      <w:r>
        <w:rPr>
          <w:rFonts w:hint="eastAsia" w:cs="Times New Roman"/>
        </w:rPr>
        <w:t>C</w:t>
      </w:r>
      <w:r>
        <w:rPr>
          <w:rFonts w:cs="Times New Roman"/>
        </w:rPr>
        <w:t>OD</w:t>
      </w:r>
      <w:r>
        <w:rPr>
          <w:rFonts w:cs="Times New Roman"/>
          <w:vertAlign w:val="subscript"/>
        </w:rPr>
        <w:t>Cr</w:t>
      </w:r>
      <w:r>
        <w:rPr>
          <w:rFonts w:cs="Times New Roman"/>
        </w:rPr>
        <w:t>为0.107t/a、NH</w:t>
      </w:r>
      <w:r>
        <w:rPr>
          <w:rFonts w:cs="Times New Roman"/>
          <w:vertAlign w:val="subscript"/>
        </w:rPr>
        <w:t>3</w:t>
      </w:r>
      <w:r>
        <w:rPr>
          <w:rFonts w:cs="Times New Roman"/>
        </w:rPr>
        <w:t>-N为0.011t/a</w:t>
      </w:r>
      <w:r>
        <w:rPr>
          <w:rFonts w:hint="eastAsia" w:cs="Times New Roman"/>
        </w:rPr>
        <w:t>，</w:t>
      </w:r>
      <w:r>
        <w:t>在环评报告中COD</w:t>
      </w:r>
      <w:r>
        <w:rPr>
          <w:vertAlign w:val="subscript"/>
        </w:rPr>
        <w:t>Cr</w:t>
      </w:r>
      <w:r>
        <w:t>、NH</w:t>
      </w:r>
      <w:r>
        <w:rPr>
          <w:vertAlign w:val="subscript"/>
        </w:rPr>
        <w:t>3</w:t>
      </w:r>
      <w:r>
        <w:t>-N的达标排放</w:t>
      </w:r>
      <w:r>
        <w:rPr>
          <w:rFonts w:hint="eastAsia"/>
        </w:rPr>
        <w:t>总量控制指标</w:t>
      </w:r>
      <w:r>
        <w:t>0.174t/a、0.017</w:t>
      </w:r>
      <w:r>
        <w:rPr>
          <w:rFonts w:hint="eastAsia"/>
        </w:rPr>
        <w:t>t</w:t>
      </w:r>
      <w:r>
        <w:t>/a的范围之内，符合总量控制要求。</w:t>
      </w:r>
    </w:p>
    <w:p>
      <w:pPr>
        <w:ind w:firstLine="480"/>
      </w:pPr>
      <w:r>
        <w:rPr>
          <w:rFonts w:hint="eastAsia"/>
        </w:rPr>
        <w:t>2、废气污染物年排放总量核算</w:t>
      </w:r>
    </w:p>
    <w:p>
      <w:pPr>
        <w:ind w:firstLine="480"/>
      </w:pPr>
      <w:r>
        <w:rPr>
          <w:rFonts w:hint="eastAsia"/>
        </w:rPr>
        <w:t>本项目已实施部分生产过程中产生的复合废气收集后经“二级水喷淋+除湿装置+活性炭吸附”处理后高空排放；燃气废气与经“二级水喷淋+除湿装置+高压静电+光催化氧化（除臭）”处理后的涂层废气一并高空排放。我公司复合涂层工序日工作时间</w:t>
      </w:r>
      <w:r>
        <w:t>16</w:t>
      </w:r>
      <w:r>
        <w:rPr>
          <w:rFonts w:hint="eastAsia"/>
        </w:rPr>
        <w:t>小时，全年工作300天，则年工作时间为</w:t>
      </w:r>
      <w:r>
        <w:t>4800</w:t>
      </w:r>
      <w:r>
        <w:rPr>
          <w:rFonts w:hint="eastAsia"/>
        </w:rPr>
        <w:t>小时。</w:t>
      </w:r>
    </w:p>
    <w:p>
      <w:pPr>
        <w:ind w:firstLine="480"/>
      </w:pPr>
      <w:r>
        <w:rPr>
          <w:rFonts w:hint="eastAsia"/>
        </w:rPr>
        <w:t>根据验收监测结果复合工序废气处理设施排放口非甲烷总烃排放速率二日均值为</w:t>
      </w:r>
      <w:r>
        <w:t>1.86</w:t>
      </w:r>
      <w:r>
        <w:rPr>
          <w:rFonts w:hint="eastAsia"/>
        </w:rPr>
        <w:t>×</w:t>
      </w:r>
      <w:r>
        <w:t>10</w:t>
      </w:r>
      <w:r>
        <w:rPr>
          <w:vertAlign w:val="superscript"/>
        </w:rPr>
        <w:t>-2</w:t>
      </w:r>
      <w:r>
        <w:rPr>
          <w:rFonts w:hint="eastAsia"/>
        </w:rPr>
        <w:t>kg</w:t>
      </w:r>
      <w:r>
        <w:t>/</w:t>
      </w:r>
      <w:r>
        <w:rPr>
          <w:rFonts w:hint="eastAsia"/>
        </w:rPr>
        <w:t>h。</w:t>
      </w:r>
    </w:p>
    <w:p>
      <w:pPr>
        <w:ind w:firstLine="480"/>
      </w:pPr>
      <w:r>
        <w:rPr>
          <w:rFonts w:hint="eastAsia"/>
        </w:rPr>
        <w:t>根据验收监测结果涂层工序废气处理设施排放口非甲烷总烃排放速率二日均值为</w:t>
      </w:r>
      <w:r>
        <w:t>7.88</w:t>
      </w:r>
      <w:r>
        <w:rPr>
          <w:rFonts w:hint="eastAsia"/>
        </w:rPr>
        <w:t>×</w:t>
      </w:r>
      <w:r>
        <w:t>10</w:t>
      </w:r>
      <w:r>
        <w:rPr>
          <w:vertAlign w:val="superscript"/>
        </w:rPr>
        <w:t>-2</w:t>
      </w:r>
      <w:r>
        <w:rPr>
          <w:rFonts w:hint="eastAsia"/>
        </w:rPr>
        <w:t>kg</w:t>
      </w:r>
      <w:r>
        <w:t>/</w:t>
      </w:r>
      <w:r>
        <w:rPr>
          <w:rFonts w:hint="eastAsia"/>
        </w:rPr>
        <w:t>h，颗粒物排放速率二日均值为</w:t>
      </w:r>
      <w:r>
        <w:t>1.30</w:t>
      </w:r>
      <w:r>
        <w:rPr>
          <w:rFonts w:hint="eastAsia"/>
        </w:rPr>
        <w:t>×</w:t>
      </w:r>
      <w:r>
        <w:t>10</w:t>
      </w:r>
      <w:r>
        <w:rPr>
          <w:vertAlign w:val="superscript"/>
        </w:rPr>
        <w:t>-2</w:t>
      </w:r>
      <w:r>
        <w:rPr>
          <w:rFonts w:hint="eastAsia"/>
        </w:rPr>
        <w:t>kg</w:t>
      </w:r>
      <w:r>
        <w:t>/</w:t>
      </w:r>
      <w:r>
        <w:rPr>
          <w:rFonts w:hint="eastAsia"/>
        </w:rPr>
        <w:t>h。</w:t>
      </w:r>
    </w:p>
    <w:p>
      <w:pPr>
        <w:ind w:firstLine="464"/>
      </w:pPr>
      <w:r>
        <w:rPr>
          <w:spacing w:val="-4"/>
        </w:rPr>
        <w:t>根据验收监测结果</w:t>
      </w:r>
      <w:r>
        <w:rPr>
          <w:rFonts w:hint="eastAsia"/>
          <w:spacing w:val="-4"/>
        </w:rPr>
        <w:t>SO</w:t>
      </w:r>
      <w:r>
        <w:rPr>
          <w:spacing w:val="-4"/>
          <w:vertAlign w:val="subscript"/>
        </w:rPr>
        <w:t>2</w:t>
      </w:r>
      <w:r>
        <w:rPr>
          <w:rFonts w:hint="eastAsia"/>
          <w:spacing w:val="-4"/>
        </w:rPr>
        <w:t>、N</w:t>
      </w:r>
      <w:r>
        <w:rPr>
          <w:spacing w:val="-4"/>
        </w:rPr>
        <w:t>O</w:t>
      </w:r>
      <w:r>
        <w:rPr>
          <w:spacing w:val="-4"/>
          <w:vertAlign w:val="subscript"/>
        </w:rPr>
        <w:t>X</w:t>
      </w:r>
      <w:r>
        <w:rPr>
          <w:spacing w:val="-4"/>
        </w:rPr>
        <w:t>均未检出</w:t>
      </w:r>
      <w:r>
        <w:rPr>
          <w:rFonts w:hint="eastAsia"/>
          <w:spacing w:val="-4"/>
        </w:rPr>
        <w:t>，企业目前</w:t>
      </w:r>
      <w:r>
        <w:rPr>
          <w:spacing w:val="-4"/>
        </w:rPr>
        <w:t>天然气用量为</w:t>
      </w:r>
      <w:r>
        <w:rPr>
          <w:rFonts w:hint="eastAsia"/>
          <w:spacing w:val="-4"/>
        </w:rPr>
        <w:t>2</w:t>
      </w:r>
      <w:r>
        <w:rPr>
          <w:spacing w:val="-4"/>
        </w:rPr>
        <w:t>4.0</w:t>
      </w:r>
      <w:r>
        <w:rPr>
          <w:rFonts w:hint="eastAsia"/>
          <w:spacing w:val="-4"/>
        </w:rPr>
        <w:t>万Nm³</w:t>
      </w:r>
      <w:r>
        <w:rPr>
          <w:rFonts w:hint="eastAsia"/>
        </w:rPr>
        <w:t>/a，根据原环评报告中S</w:t>
      </w:r>
      <w:r>
        <w:t>O</w:t>
      </w:r>
      <w:r>
        <w:rPr>
          <w:vertAlign w:val="subscript"/>
        </w:rPr>
        <w:t>2</w:t>
      </w:r>
      <w:r>
        <w:rPr>
          <w:rFonts w:hint="eastAsia"/>
        </w:rPr>
        <w:t>、N</w:t>
      </w:r>
      <w:r>
        <w:t>Ox的产物系数</w:t>
      </w:r>
      <w:r>
        <w:rPr>
          <w:rFonts w:hint="eastAsia"/>
        </w:rPr>
        <w:t>（0</w:t>
      </w:r>
      <w:r>
        <w:t>.02Skg/万</w:t>
      </w:r>
      <w:r>
        <w:rPr>
          <w:rFonts w:hint="eastAsia"/>
        </w:rPr>
        <w:t>m</w:t>
      </w:r>
      <w:r>
        <w:rPr>
          <w:vertAlign w:val="superscript"/>
        </w:rPr>
        <w:t>3</w:t>
      </w:r>
      <w:r>
        <w:rPr>
          <w:rFonts w:hint="eastAsia"/>
        </w:rPr>
        <w:t>，</w:t>
      </w:r>
      <w:r>
        <w:t>其中</w:t>
      </w:r>
      <w:r>
        <w:rPr>
          <w:rFonts w:hint="eastAsia"/>
        </w:rPr>
        <w:t>S取值为1</w:t>
      </w:r>
      <w:r>
        <w:t>00mg/Nm</w:t>
      </w:r>
      <w:r>
        <w:rPr>
          <w:vertAlign w:val="superscript"/>
        </w:rPr>
        <w:t>3</w:t>
      </w:r>
      <w:r>
        <w:rPr>
          <w:rFonts w:hint="eastAsia"/>
        </w:rPr>
        <w:t>、1</w:t>
      </w:r>
      <w:r>
        <w:t>8.71kg/万</w:t>
      </w:r>
      <w:r>
        <w:rPr>
          <w:rFonts w:hint="eastAsia"/>
        </w:rPr>
        <w:t>m</w:t>
      </w:r>
      <w:r>
        <w:rPr>
          <w:vertAlign w:val="superscript"/>
        </w:rPr>
        <w:t>3</w:t>
      </w:r>
      <w:r>
        <w:rPr>
          <w:rFonts w:hint="eastAsia"/>
        </w:rPr>
        <w:t>），则企业目前S</w:t>
      </w:r>
      <w:r>
        <w:t>O</w:t>
      </w:r>
      <w:r>
        <w:rPr>
          <w:vertAlign w:val="subscript"/>
        </w:rPr>
        <w:t>2</w:t>
      </w:r>
      <w:r>
        <w:t>排放量为</w:t>
      </w:r>
      <w:r>
        <w:rPr>
          <w:rFonts w:hint="eastAsia"/>
        </w:rPr>
        <w:t>0</w:t>
      </w:r>
      <w:r>
        <w:t>.048t/a</w:t>
      </w:r>
      <w:r>
        <w:rPr>
          <w:rFonts w:hint="eastAsia"/>
        </w:rPr>
        <w:t>，N</w:t>
      </w:r>
      <w:r>
        <w:t>Ox排放量为</w:t>
      </w:r>
      <w:r>
        <w:rPr>
          <w:rFonts w:hint="eastAsia"/>
        </w:rPr>
        <w:t>0</w:t>
      </w:r>
      <w:r>
        <w:t>.449</w:t>
      </w:r>
      <w:r>
        <w:rPr>
          <w:rFonts w:hint="eastAsia"/>
        </w:rPr>
        <w:t xml:space="preserve"> t/a。</w:t>
      </w:r>
    </w:p>
    <w:p>
      <w:pPr>
        <w:ind w:firstLine="480"/>
      </w:pPr>
      <w:r>
        <w:rPr>
          <w:rFonts w:hint="eastAsia"/>
        </w:rPr>
        <w:t>据此核算本项目已实施部分生产过程中废气污染物年排放量为：颗粒物</w:t>
      </w:r>
      <w:r>
        <w:t>0.062</w:t>
      </w:r>
      <w:r>
        <w:rPr>
          <w:rFonts w:hint="eastAsia"/>
        </w:rPr>
        <w:t>t/a、非甲烷总烃</w:t>
      </w:r>
      <w:r>
        <w:t>0.468</w:t>
      </w:r>
      <w:r>
        <w:rPr>
          <w:rFonts w:hint="eastAsia"/>
        </w:rPr>
        <w:t>t/a、SO</w:t>
      </w:r>
      <w:r>
        <w:rPr>
          <w:rFonts w:hint="eastAsia"/>
          <w:vertAlign w:val="subscript"/>
        </w:rPr>
        <w:t>2</w:t>
      </w:r>
      <w:r>
        <w:t xml:space="preserve"> 0.048</w:t>
      </w:r>
      <w:r>
        <w:rPr>
          <w:rFonts w:hint="eastAsia"/>
        </w:rPr>
        <w:t>t/a、NOx</w:t>
      </w:r>
      <w:r>
        <w:t>0.449</w:t>
      </w:r>
      <w:r>
        <w:rPr>
          <w:rFonts w:hint="eastAsia"/>
        </w:rPr>
        <w:t xml:space="preserve">t/a，均在环评审批的污染物总量控制指标范围内：颗粒物 </w:t>
      </w:r>
      <w:r>
        <w:t>0.077</w:t>
      </w:r>
      <w:r>
        <w:rPr>
          <w:rFonts w:hint="eastAsia"/>
        </w:rPr>
        <w:t>t/a、VOCs</w:t>
      </w:r>
      <w:r>
        <w:t xml:space="preserve"> 1.511</w:t>
      </w:r>
      <w:r>
        <w:rPr>
          <w:rFonts w:hint="eastAsia"/>
        </w:rPr>
        <w:t>t/a、SO</w:t>
      </w:r>
      <w:r>
        <w:rPr>
          <w:rFonts w:hint="eastAsia"/>
          <w:vertAlign w:val="subscript"/>
        </w:rPr>
        <w:t>2</w:t>
      </w:r>
      <w:r>
        <w:t xml:space="preserve"> 0.049</w:t>
      </w:r>
      <w:r>
        <w:rPr>
          <w:rFonts w:hint="eastAsia"/>
        </w:rPr>
        <w:t>t/a、NOx</w:t>
      </w:r>
      <w:r>
        <w:t xml:space="preserve"> 0.460</w:t>
      </w:r>
      <w:r>
        <w:rPr>
          <w:rFonts w:hint="eastAsia"/>
        </w:rPr>
        <w:t>t/a，符合总量控制要求。</w:t>
      </w:r>
    </w:p>
    <w:p>
      <w:pPr>
        <w:ind w:firstLine="480"/>
      </w:pPr>
    </w:p>
    <w:p>
      <w:pPr>
        <w:ind w:firstLine="480"/>
      </w:pPr>
    </w:p>
    <w:p>
      <w:pPr>
        <w:pStyle w:val="4"/>
      </w:pPr>
      <w:bookmarkStart w:id="124" w:name="_Toc81808535"/>
      <w:bookmarkStart w:id="125" w:name="_Toc515273931"/>
      <w:r>
        <w:rPr>
          <w:rFonts w:hint="eastAsia"/>
        </w:rPr>
        <w:t>1</w:t>
      </w:r>
      <w:r>
        <w:t>0验收监测结论</w:t>
      </w:r>
      <w:bookmarkEnd w:id="124"/>
      <w:bookmarkEnd w:id="125"/>
    </w:p>
    <w:p>
      <w:pPr>
        <w:pStyle w:val="5"/>
      </w:pPr>
      <w:bookmarkStart w:id="126" w:name="_Toc81808536"/>
      <w:bookmarkStart w:id="127" w:name="_Toc81808424"/>
      <w:r>
        <w:t>10.1生产工况</w:t>
      </w:r>
      <w:bookmarkEnd w:id="126"/>
      <w:bookmarkEnd w:id="127"/>
    </w:p>
    <w:p>
      <w:pPr>
        <w:ind w:firstLine="480"/>
        <w:rPr>
          <w:b/>
          <w:bCs/>
        </w:rPr>
      </w:pPr>
      <w:r>
        <w:rPr>
          <w:rFonts w:cs="Times New Roman"/>
        </w:rPr>
        <w:t>验收监测期间，</w:t>
      </w:r>
      <w:r>
        <w:rPr>
          <w:rFonts w:hint="eastAsia" w:cs="Times New Roman"/>
        </w:rPr>
        <w:t>我公司</w:t>
      </w:r>
      <w:r>
        <w:rPr>
          <w:rFonts w:cs="Times New Roman"/>
        </w:rPr>
        <w:t>生产正常，设施运行稳定，</w:t>
      </w:r>
      <w:r>
        <w:t>满足验收监测技术规范</w:t>
      </w:r>
      <w:r>
        <w:rPr>
          <w:rFonts w:hint="eastAsia"/>
        </w:rPr>
        <w:t>相关</w:t>
      </w:r>
      <w:r>
        <w:t>要求。</w:t>
      </w:r>
    </w:p>
    <w:p>
      <w:pPr>
        <w:pStyle w:val="5"/>
      </w:pPr>
      <w:bookmarkStart w:id="128" w:name="_Toc515273932"/>
      <w:bookmarkStart w:id="129" w:name="_Toc81808425"/>
      <w:bookmarkStart w:id="130" w:name="_Toc81808537"/>
      <w:r>
        <w:t>10.2废水</w:t>
      </w:r>
      <w:bookmarkEnd w:id="128"/>
      <w:bookmarkEnd w:id="129"/>
      <w:bookmarkEnd w:id="130"/>
    </w:p>
    <w:p>
      <w:pPr>
        <w:ind w:firstLine="480"/>
      </w:pPr>
      <w:r>
        <w:t>根据监测结果</w:t>
      </w:r>
      <w:r>
        <w:rPr>
          <w:rFonts w:hint="eastAsia"/>
        </w:rPr>
        <w:t>，公司废水总排口的水质中pH值、SS、COD</w:t>
      </w:r>
      <w:r>
        <w:rPr>
          <w:rFonts w:hint="eastAsia"/>
          <w:vertAlign w:val="subscript"/>
        </w:rPr>
        <w:t>Cr</w:t>
      </w:r>
      <w:r>
        <w:rPr>
          <w:rFonts w:hint="eastAsia"/>
        </w:rPr>
        <w:t>、BOD</w:t>
      </w:r>
      <w:r>
        <w:rPr>
          <w:rFonts w:hint="eastAsia"/>
          <w:vertAlign w:val="subscript"/>
        </w:rPr>
        <w:t>5</w:t>
      </w:r>
      <w:r>
        <w:rPr>
          <w:rFonts w:hint="eastAsia"/>
        </w:rPr>
        <w:t>、N</w:t>
      </w:r>
      <w:r>
        <w:t>H</w:t>
      </w:r>
      <w:r>
        <w:rPr>
          <w:vertAlign w:val="subscript"/>
        </w:rPr>
        <w:t>3</w:t>
      </w:r>
      <w:r>
        <w:t>-N</w:t>
      </w:r>
      <w:r>
        <w:rPr>
          <w:rFonts w:hint="eastAsia"/>
        </w:rPr>
        <w:t>、总磷、色度的污染物浓度日均值均达到《纺织染整工业水污染物排放标准》（GB4287-2012）及其修改单（环保部公告2015年第19号），以及《关于调整&lt;纺织染整工业污染物排放标准&gt;（GB4287-2012）部分指标执行要求的公告》（环保部公告2015年第41号）要求的表2规定的间接排放限值。pH值、SS、COD</w:t>
      </w:r>
      <w:r>
        <w:rPr>
          <w:rFonts w:hint="eastAsia"/>
          <w:vertAlign w:val="subscript"/>
        </w:rPr>
        <w:t>Cr</w:t>
      </w:r>
      <w:r>
        <w:rPr>
          <w:rFonts w:hint="eastAsia"/>
        </w:rPr>
        <w:t>、BOD</w:t>
      </w:r>
      <w:r>
        <w:rPr>
          <w:rFonts w:hint="eastAsia"/>
          <w:vertAlign w:val="subscript"/>
        </w:rPr>
        <w:t>5</w:t>
      </w:r>
      <w:r>
        <w:rPr>
          <w:rFonts w:hint="eastAsia"/>
        </w:rPr>
        <w:t>、NH</w:t>
      </w:r>
      <w:r>
        <w:rPr>
          <w:rFonts w:hint="eastAsia"/>
          <w:vertAlign w:val="subscript"/>
        </w:rPr>
        <w:t>3</w:t>
      </w:r>
      <w:r>
        <w:rPr>
          <w:rFonts w:hint="eastAsia"/>
        </w:rPr>
        <w:t>-N、总磷、色度的单项次达标率为100%。</w:t>
      </w:r>
    </w:p>
    <w:p>
      <w:pPr>
        <w:pStyle w:val="5"/>
      </w:pPr>
      <w:bookmarkStart w:id="131" w:name="_Toc81808538"/>
      <w:bookmarkStart w:id="132" w:name="_Toc81808426"/>
      <w:bookmarkStart w:id="133" w:name="_Toc515273933"/>
      <w:r>
        <w:t>10.3废气</w:t>
      </w:r>
      <w:bookmarkEnd w:id="131"/>
      <w:bookmarkEnd w:id="132"/>
      <w:bookmarkEnd w:id="133"/>
    </w:p>
    <w:p>
      <w:pPr>
        <w:ind w:firstLine="480"/>
      </w:pPr>
      <w:bookmarkStart w:id="134" w:name="_Toc515273934"/>
      <w:r>
        <w:rPr>
          <w:rFonts w:hint="eastAsia"/>
        </w:rPr>
        <w:t>根据监测结果，公司复合工序废气处理设施排放口非甲烷总烃、臭气浓度排放浓度均低于《纺织染整工业大气污染物排放标准》（DB</w:t>
      </w:r>
      <w:r>
        <w:t>33/962-2015</w:t>
      </w:r>
      <w:r>
        <w:rPr>
          <w:rFonts w:hint="eastAsia"/>
        </w:rPr>
        <w:t>）表1规定的新建企业相关排放限值；涂层废气处理设施排放口非甲烷总烃、臭气浓度、颗粒物排放浓度均低于《纺织染整工业大气污染物排放标准》（DB33/962-2015）表1规定的新建企业相关排放限值，SO</w:t>
      </w:r>
      <w:r>
        <w:rPr>
          <w:rFonts w:hint="eastAsia"/>
          <w:vertAlign w:val="subscript"/>
        </w:rPr>
        <w:t>2</w:t>
      </w:r>
      <w:r>
        <w:rPr>
          <w:rFonts w:hint="eastAsia"/>
        </w:rPr>
        <w:t>、NOx排放浓度均低于《关于印发&lt;工业炉窑大气污染综合治理方案&gt;的通知》（环大气[2019]56号）和《浙江省工业炉窑大气污染综合治理方案》（浙环函[2019]315号）中关于未制定行业标准的其他炉窑相关污染物排放限值。</w:t>
      </w:r>
    </w:p>
    <w:p>
      <w:pPr>
        <w:ind w:firstLine="480"/>
      </w:pPr>
      <w:r>
        <w:rPr>
          <w:rFonts w:hint="eastAsia"/>
        </w:rPr>
        <w:t>根据监测结果，本项目厂界四周总悬浮颗粒物、非甲烷总烃的无组织排放浓度值以及厂区内非甲烷总烃的无组织排放监控点处1小时平均浓度值均低于《大气污染物综合排放标准》（GB16297-1996）表2中的无组织排放监控浓度限值。臭气浓度无组织排放浓度值低于DB33/962-2015《纺织染整工业大气污染物排放标准》表2规定的相关限值。</w:t>
      </w:r>
    </w:p>
    <w:p>
      <w:pPr>
        <w:ind w:firstLine="480"/>
      </w:pPr>
      <w:bookmarkStart w:id="135" w:name="_Hlk81902926"/>
      <w:r>
        <w:rPr>
          <w:rFonts w:hint="eastAsia"/>
        </w:rPr>
        <w:t>此外本项目选址符合生产车间设置100米卫生防护距离要求。</w:t>
      </w:r>
    </w:p>
    <w:bookmarkEnd w:id="135"/>
    <w:p>
      <w:pPr>
        <w:pStyle w:val="5"/>
        <w:rPr>
          <w:rFonts w:cs="Times New Roman"/>
          <w:szCs w:val="24"/>
        </w:rPr>
      </w:pPr>
      <w:bookmarkStart w:id="136" w:name="_Toc81808427"/>
      <w:bookmarkStart w:id="137" w:name="_Toc81808539"/>
      <w:r>
        <w:rPr>
          <w:rFonts w:cs="Times New Roman"/>
          <w:szCs w:val="24"/>
        </w:rPr>
        <w:t>10.4噪声</w:t>
      </w:r>
      <w:bookmarkEnd w:id="134"/>
      <w:bookmarkEnd w:id="136"/>
      <w:bookmarkEnd w:id="137"/>
    </w:p>
    <w:p>
      <w:pPr>
        <w:ind w:firstLine="480"/>
        <w:rPr>
          <w:rFonts w:cs="Times New Roman"/>
          <w:b/>
          <w:bCs/>
        </w:rPr>
      </w:pPr>
      <w:r>
        <w:rPr>
          <w:rFonts w:hint="eastAsia"/>
        </w:rPr>
        <w:t>根据监测结果，公司厂界昼夜间噪声监测值均达到《工业企业厂界环境噪声排放标准》（GB12348-2008）中的3类区标准</w:t>
      </w:r>
      <w:r>
        <w:rPr>
          <w:rFonts w:cs="Times New Roman"/>
        </w:rPr>
        <w:t>。</w:t>
      </w:r>
    </w:p>
    <w:p>
      <w:pPr>
        <w:pStyle w:val="5"/>
        <w:rPr>
          <w:rFonts w:cs="Times New Roman"/>
          <w:szCs w:val="24"/>
        </w:rPr>
      </w:pPr>
      <w:bookmarkStart w:id="138" w:name="_Toc515273935"/>
      <w:bookmarkStart w:id="139" w:name="_Toc81808428"/>
      <w:bookmarkStart w:id="140" w:name="_Toc81808540"/>
      <w:r>
        <w:rPr>
          <w:rFonts w:cs="Times New Roman"/>
          <w:szCs w:val="24"/>
        </w:rPr>
        <w:t>10.5固体废弃物</w:t>
      </w:r>
      <w:bookmarkEnd w:id="138"/>
      <w:bookmarkEnd w:id="139"/>
      <w:bookmarkEnd w:id="140"/>
    </w:p>
    <w:p>
      <w:pPr>
        <w:ind w:firstLine="480"/>
      </w:pPr>
      <w:bookmarkStart w:id="141" w:name="_Toc515011450"/>
      <w:r>
        <w:rPr>
          <w:rFonts w:hint="eastAsia"/>
        </w:rPr>
        <w:t>本项目已实施部分生产过程中产生的固体废物主要为废布料、破损废包装桶、废活性炭、废胶渣、废胶水、废抹布、油泥、污泥以及职工生活垃圾。</w:t>
      </w:r>
    </w:p>
    <w:p>
      <w:pPr>
        <w:ind w:firstLine="480"/>
      </w:pPr>
      <w:r>
        <w:rPr>
          <w:rFonts w:hint="eastAsia"/>
        </w:rPr>
        <w:t>一废布料由企业收集分类后出售给相关单位进行综合利用；破损废包装桶、废活性炭、废胶渣、废胶水、废抹布、油泥在厂内危废仓库暂存，委托嘉兴市桐源环境科技有限公司收集转运，最终由嘉兴市固体废物处置有限责任公司处置；污泥有企业收集后委托浙江景顺环保能源有限公司处置；生活垃圾在厂内定点收集，委托当地环卫部门统一清运。</w:t>
      </w:r>
    </w:p>
    <w:p>
      <w:pPr>
        <w:ind w:firstLine="480"/>
      </w:pPr>
      <w:r>
        <w:rPr>
          <w:rFonts w:hint="eastAsia"/>
        </w:rPr>
        <w:t>固体废物的贮存和处置满足《中华人民共和国固体废物污染环境防治法（2020年修正）》、《浙江省固体废物污染环境防治条例》以及《一般工业固体废物贮存和填埋污染控制标准》（GB18599-2020）中相应防渗漏、防雨淋、防扬尘等环境保护要求的有关规定。</w:t>
      </w:r>
    </w:p>
    <w:p>
      <w:pPr>
        <w:ind w:firstLine="480"/>
        <w:rPr>
          <w:b/>
          <w:bCs/>
        </w:rPr>
      </w:pPr>
      <w:r>
        <w:rPr>
          <w:rFonts w:hint="eastAsia"/>
        </w:rPr>
        <w:t>危险废物的贮存和处置还满足GB18597-2001《危险废物贮存污染控制标准（2013年修正）》中的相关规定。</w:t>
      </w:r>
    </w:p>
    <w:p>
      <w:pPr>
        <w:pStyle w:val="5"/>
        <w:rPr>
          <w:rFonts w:cs="Times New Roman"/>
          <w:szCs w:val="24"/>
        </w:rPr>
      </w:pPr>
      <w:bookmarkStart w:id="142" w:name="_Toc81808541"/>
      <w:bookmarkStart w:id="143" w:name="_Toc81808429"/>
      <w:r>
        <w:rPr>
          <w:rFonts w:cs="Times New Roman"/>
          <w:szCs w:val="24"/>
        </w:rPr>
        <w:t>10.6总量控制</w:t>
      </w:r>
      <w:bookmarkEnd w:id="141"/>
      <w:bookmarkEnd w:id="142"/>
      <w:bookmarkEnd w:id="143"/>
    </w:p>
    <w:p>
      <w:pPr>
        <w:ind w:firstLine="480"/>
        <w:rPr>
          <w:rFonts w:eastAsia="宋体" w:cs="Times New Roman"/>
        </w:rPr>
      </w:pPr>
      <w:r>
        <w:rPr>
          <w:rFonts w:hint="eastAsia" w:eastAsia="宋体" w:cs="Times New Roman"/>
        </w:rPr>
        <w:t>公司</w:t>
      </w:r>
      <w:r>
        <w:rPr>
          <w:rFonts w:eastAsia="宋体" w:cs="Times New Roman"/>
        </w:rPr>
        <w:t>总量控制指标COD</w:t>
      </w:r>
      <w:r>
        <w:rPr>
          <w:rFonts w:eastAsia="宋体" w:cs="Times New Roman"/>
          <w:vertAlign w:val="subscript"/>
        </w:rPr>
        <w:t>Cr</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、颗粒物、SO</w:t>
      </w:r>
      <w:r>
        <w:rPr>
          <w:rFonts w:eastAsia="宋体" w:cs="Times New Roman"/>
          <w:vertAlign w:val="subscript"/>
        </w:rPr>
        <w:t>2</w:t>
      </w:r>
      <w:r>
        <w:rPr>
          <w:rFonts w:hint="eastAsia" w:eastAsia="宋体" w:cs="Times New Roman"/>
        </w:rPr>
        <w:t>、NOx、挥发性有机物（VOCs）</w:t>
      </w:r>
      <w:r>
        <w:rPr>
          <w:rFonts w:eastAsia="宋体" w:cs="Times New Roman"/>
        </w:rPr>
        <w:t>的</w:t>
      </w:r>
      <w:r>
        <w:rPr>
          <w:rFonts w:hint="eastAsia" w:eastAsia="宋体" w:cs="Times New Roman"/>
        </w:rPr>
        <w:t>已实施部分</w:t>
      </w:r>
      <w:r>
        <w:rPr>
          <w:bCs/>
        </w:rPr>
        <w:t>年排放量</w:t>
      </w:r>
      <w:r>
        <w:rPr>
          <w:rFonts w:hint="eastAsia"/>
          <w:bCs/>
        </w:rPr>
        <w:t>与环评报告审批量见下表</w:t>
      </w:r>
      <w:r>
        <w:rPr>
          <w:rFonts w:eastAsia="宋体" w:cs="Times New Roman"/>
        </w:rPr>
        <w:t>。</w:t>
      </w:r>
    </w:p>
    <w:p>
      <w:pPr>
        <w:pStyle w:val="39"/>
        <w:spacing w:before="62" w:after="31"/>
        <w:rPr>
          <w:color w:val="auto"/>
        </w:rPr>
      </w:pPr>
      <w:r>
        <w:rPr>
          <w:rFonts w:hint="eastAsia"/>
          <w:color w:val="auto"/>
        </w:rPr>
        <w:t xml:space="preserve">表10-1 总量控制情况 </w:t>
      </w:r>
      <w:r>
        <w:rPr>
          <w:color w:val="auto"/>
        </w:rPr>
        <w:t xml:space="preserve"> </w:t>
      </w:r>
      <w:r>
        <w:rPr>
          <w:rFonts w:hint="eastAsia"/>
          <w:color w:val="auto"/>
        </w:rPr>
        <w:t>单位：t/a</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1114"/>
        <w:gridCol w:w="1114"/>
        <w:gridCol w:w="1114"/>
        <w:gridCol w:w="1114"/>
        <w:gridCol w:w="1115"/>
        <w:gridCol w:w="1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6" w:type="pct"/>
            <w:vAlign w:val="center"/>
          </w:tcPr>
          <w:p>
            <w:pPr>
              <w:pStyle w:val="44"/>
              <w:rPr>
                <w:b/>
                <w:bCs w:val="0"/>
                <w:color w:val="auto"/>
              </w:rPr>
            </w:pPr>
            <w:r>
              <w:rPr>
                <w:rFonts w:hint="eastAsia"/>
                <w:b/>
                <w:bCs w:val="0"/>
                <w:color w:val="auto"/>
              </w:rPr>
              <w:t>污染物类别</w:t>
            </w:r>
          </w:p>
        </w:tc>
        <w:tc>
          <w:tcPr>
            <w:tcW w:w="639" w:type="pct"/>
            <w:vAlign w:val="center"/>
          </w:tcPr>
          <w:p>
            <w:pPr>
              <w:pStyle w:val="44"/>
              <w:rPr>
                <w:b/>
                <w:bCs w:val="0"/>
                <w:color w:val="auto"/>
              </w:rPr>
            </w:pPr>
            <w:r>
              <w:rPr>
                <w:b/>
                <w:bCs w:val="0"/>
                <w:color w:val="auto"/>
              </w:rPr>
              <w:t>COD</w:t>
            </w:r>
            <w:r>
              <w:rPr>
                <w:b/>
                <w:bCs w:val="0"/>
                <w:color w:val="auto"/>
                <w:vertAlign w:val="subscript"/>
              </w:rPr>
              <w:t>Cr</w:t>
            </w:r>
          </w:p>
        </w:tc>
        <w:tc>
          <w:tcPr>
            <w:tcW w:w="639" w:type="pct"/>
            <w:vAlign w:val="center"/>
          </w:tcPr>
          <w:p>
            <w:pPr>
              <w:pStyle w:val="44"/>
              <w:rPr>
                <w:b/>
                <w:bCs w:val="0"/>
                <w:color w:val="auto"/>
              </w:rPr>
            </w:pPr>
            <w:r>
              <w:rPr>
                <w:b/>
                <w:bCs w:val="0"/>
                <w:color w:val="auto"/>
              </w:rPr>
              <w:t>NH</w:t>
            </w:r>
            <w:r>
              <w:rPr>
                <w:b/>
                <w:bCs w:val="0"/>
                <w:color w:val="auto"/>
                <w:vertAlign w:val="subscript"/>
              </w:rPr>
              <w:t>3</w:t>
            </w:r>
            <w:r>
              <w:rPr>
                <w:b/>
                <w:bCs w:val="0"/>
                <w:color w:val="auto"/>
              </w:rPr>
              <w:t>-N</w:t>
            </w:r>
          </w:p>
        </w:tc>
        <w:tc>
          <w:tcPr>
            <w:tcW w:w="639" w:type="pct"/>
            <w:vAlign w:val="center"/>
          </w:tcPr>
          <w:p>
            <w:pPr>
              <w:pStyle w:val="44"/>
              <w:rPr>
                <w:b/>
                <w:bCs w:val="0"/>
                <w:color w:val="auto"/>
              </w:rPr>
            </w:pPr>
            <w:r>
              <w:rPr>
                <w:rFonts w:hint="eastAsia"/>
                <w:b/>
                <w:bCs w:val="0"/>
                <w:color w:val="auto"/>
              </w:rPr>
              <w:t>颗粒物</w:t>
            </w:r>
          </w:p>
        </w:tc>
        <w:tc>
          <w:tcPr>
            <w:tcW w:w="639" w:type="pct"/>
            <w:vAlign w:val="center"/>
          </w:tcPr>
          <w:p>
            <w:pPr>
              <w:pStyle w:val="44"/>
              <w:rPr>
                <w:b/>
                <w:bCs w:val="0"/>
                <w:color w:val="auto"/>
              </w:rPr>
            </w:pPr>
            <w:r>
              <w:rPr>
                <w:rFonts w:hint="eastAsia"/>
                <w:b/>
                <w:bCs w:val="0"/>
                <w:color w:val="auto"/>
              </w:rPr>
              <w:t>VOCs</w:t>
            </w:r>
          </w:p>
        </w:tc>
        <w:tc>
          <w:tcPr>
            <w:tcW w:w="639" w:type="pct"/>
            <w:vAlign w:val="center"/>
          </w:tcPr>
          <w:p>
            <w:pPr>
              <w:pStyle w:val="44"/>
              <w:rPr>
                <w:b/>
                <w:bCs w:val="0"/>
                <w:color w:val="auto"/>
              </w:rPr>
            </w:pPr>
            <w:r>
              <w:rPr>
                <w:rFonts w:hint="eastAsia"/>
                <w:b/>
                <w:bCs w:val="0"/>
                <w:color w:val="auto"/>
              </w:rPr>
              <w:t>SO</w:t>
            </w:r>
            <w:r>
              <w:rPr>
                <w:b/>
                <w:bCs w:val="0"/>
                <w:color w:val="auto"/>
                <w:vertAlign w:val="subscript"/>
              </w:rPr>
              <w:t>2</w:t>
            </w:r>
          </w:p>
        </w:tc>
        <w:tc>
          <w:tcPr>
            <w:tcW w:w="639" w:type="pct"/>
            <w:vAlign w:val="center"/>
          </w:tcPr>
          <w:p>
            <w:pPr>
              <w:pStyle w:val="44"/>
              <w:rPr>
                <w:b/>
                <w:bCs w:val="0"/>
                <w:color w:val="auto"/>
              </w:rPr>
            </w:pPr>
            <w:r>
              <w:rPr>
                <w:rFonts w:hint="eastAsia"/>
                <w:b/>
                <w:bCs w:val="0"/>
                <w:color w:val="auto"/>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6" w:type="pct"/>
            <w:vAlign w:val="center"/>
          </w:tcPr>
          <w:p>
            <w:pPr>
              <w:pStyle w:val="44"/>
              <w:rPr>
                <w:b/>
                <w:bCs w:val="0"/>
                <w:color w:val="auto"/>
              </w:rPr>
            </w:pPr>
            <w:r>
              <w:rPr>
                <w:rFonts w:hint="eastAsia"/>
                <w:bCs w:val="0"/>
                <w:color w:val="auto"/>
              </w:rPr>
              <w:t>已实施部分实际排放量</w:t>
            </w:r>
          </w:p>
        </w:tc>
        <w:tc>
          <w:tcPr>
            <w:tcW w:w="639" w:type="pct"/>
            <w:vAlign w:val="center"/>
          </w:tcPr>
          <w:p>
            <w:pPr>
              <w:pStyle w:val="44"/>
              <w:rPr>
                <w:bCs w:val="0"/>
                <w:color w:val="auto"/>
              </w:rPr>
            </w:pPr>
            <w:r>
              <w:rPr>
                <w:bCs w:val="0"/>
                <w:color w:val="auto"/>
              </w:rPr>
              <w:t>0.107</w:t>
            </w:r>
          </w:p>
        </w:tc>
        <w:tc>
          <w:tcPr>
            <w:tcW w:w="639" w:type="pct"/>
            <w:vAlign w:val="center"/>
          </w:tcPr>
          <w:p>
            <w:pPr>
              <w:pStyle w:val="44"/>
              <w:rPr>
                <w:bCs w:val="0"/>
                <w:color w:val="auto"/>
              </w:rPr>
            </w:pPr>
            <w:r>
              <w:rPr>
                <w:bCs w:val="0"/>
                <w:color w:val="auto"/>
              </w:rPr>
              <w:t>0.011</w:t>
            </w:r>
          </w:p>
        </w:tc>
        <w:tc>
          <w:tcPr>
            <w:tcW w:w="639" w:type="pct"/>
            <w:vAlign w:val="center"/>
          </w:tcPr>
          <w:p>
            <w:pPr>
              <w:pStyle w:val="44"/>
              <w:rPr>
                <w:bCs w:val="0"/>
                <w:color w:val="auto"/>
              </w:rPr>
            </w:pPr>
            <w:r>
              <w:rPr>
                <w:rFonts w:hint="eastAsia"/>
                <w:bCs w:val="0"/>
                <w:color w:val="auto"/>
              </w:rPr>
              <w:t>0</w:t>
            </w:r>
            <w:r>
              <w:rPr>
                <w:bCs w:val="0"/>
                <w:color w:val="auto"/>
              </w:rPr>
              <w:t>.062</w:t>
            </w:r>
          </w:p>
        </w:tc>
        <w:tc>
          <w:tcPr>
            <w:tcW w:w="639" w:type="pct"/>
            <w:vAlign w:val="center"/>
          </w:tcPr>
          <w:p>
            <w:pPr>
              <w:pStyle w:val="44"/>
              <w:rPr>
                <w:bCs w:val="0"/>
                <w:color w:val="auto"/>
              </w:rPr>
            </w:pPr>
            <w:r>
              <w:rPr>
                <w:rFonts w:hint="eastAsia"/>
                <w:bCs w:val="0"/>
                <w:color w:val="auto"/>
              </w:rPr>
              <w:t>0</w:t>
            </w:r>
            <w:r>
              <w:rPr>
                <w:bCs w:val="0"/>
                <w:color w:val="auto"/>
              </w:rPr>
              <w:t>.468</w:t>
            </w:r>
          </w:p>
        </w:tc>
        <w:tc>
          <w:tcPr>
            <w:tcW w:w="639" w:type="pct"/>
            <w:vAlign w:val="center"/>
          </w:tcPr>
          <w:p>
            <w:pPr>
              <w:pStyle w:val="44"/>
              <w:rPr>
                <w:bCs w:val="0"/>
                <w:color w:val="auto"/>
              </w:rPr>
            </w:pPr>
            <w:r>
              <w:rPr>
                <w:rFonts w:hint="eastAsia"/>
                <w:bCs w:val="0"/>
                <w:color w:val="auto"/>
              </w:rPr>
              <w:t>0</w:t>
            </w:r>
            <w:r>
              <w:rPr>
                <w:bCs w:val="0"/>
                <w:color w:val="auto"/>
              </w:rPr>
              <w:t>.048</w:t>
            </w:r>
          </w:p>
        </w:tc>
        <w:tc>
          <w:tcPr>
            <w:tcW w:w="639" w:type="pct"/>
            <w:vAlign w:val="center"/>
          </w:tcPr>
          <w:p>
            <w:pPr>
              <w:pStyle w:val="44"/>
              <w:rPr>
                <w:bCs w:val="0"/>
                <w:color w:val="auto"/>
              </w:rPr>
            </w:pPr>
            <w:r>
              <w:rPr>
                <w:bCs w:val="0"/>
                <w:color w:val="auto"/>
              </w:rPr>
              <w:t>0.449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66" w:type="pct"/>
            <w:vAlign w:val="center"/>
          </w:tcPr>
          <w:p>
            <w:pPr>
              <w:pStyle w:val="44"/>
              <w:rPr>
                <w:b/>
                <w:bCs w:val="0"/>
                <w:color w:val="auto"/>
              </w:rPr>
            </w:pPr>
            <w:r>
              <w:rPr>
                <w:rFonts w:hint="eastAsia"/>
                <w:bCs w:val="0"/>
                <w:color w:val="auto"/>
              </w:rPr>
              <w:t>环评报告审批量</w:t>
            </w:r>
          </w:p>
        </w:tc>
        <w:tc>
          <w:tcPr>
            <w:tcW w:w="639" w:type="pct"/>
            <w:vAlign w:val="center"/>
          </w:tcPr>
          <w:p>
            <w:pPr>
              <w:pStyle w:val="44"/>
              <w:rPr>
                <w:bCs w:val="0"/>
                <w:color w:val="auto"/>
              </w:rPr>
            </w:pPr>
            <w:r>
              <w:rPr>
                <w:rFonts w:hint="eastAsia"/>
                <w:bCs w:val="0"/>
                <w:color w:val="auto"/>
              </w:rPr>
              <w:t>0</w:t>
            </w:r>
            <w:r>
              <w:rPr>
                <w:bCs w:val="0"/>
                <w:color w:val="auto"/>
              </w:rPr>
              <w:t>.174</w:t>
            </w:r>
          </w:p>
        </w:tc>
        <w:tc>
          <w:tcPr>
            <w:tcW w:w="639" w:type="pct"/>
            <w:vAlign w:val="center"/>
          </w:tcPr>
          <w:p>
            <w:pPr>
              <w:pStyle w:val="44"/>
              <w:rPr>
                <w:bCs w:val="0"/>
                <w:color w:val="auto"/>
              </w:rPr>
            </w:pPr>
            <w:r>
              <w:rPr>
                <w:rFonts w:hint="eastAsia"/>
                <w:bCs w:val="0"/>
                <w:color w:val="auto"/>
              </w:rPr>
              <w:t>0</w:t>
            </w:r>
            <w:r>
              <w:rPr>
                <w:bCs w:val="0"/>
                <w:color w:val="auto"/>
              </w:rPr>
              <w:t>.017</w:t>
            </w:r>
          </w:p>
        </w:tc>
        <w:tc>
          <w:tcPr>
            <w:tcW w:w="639" w:type="pct"/>
            <w:vAlign w:val="center"/>
          </w:tcPr>
          <w:p>
            <w:pPr>
              <w:pStyle w:val="44"/>
              <w:rPr>
                <w:bCs w:val="0"/>
                <w:color w:val="auto"/>
              </w:rPr>
            </w:pPr>
            <w:r>
              <w:rPr>
                <w:rFonts w:hint="eastAsia"/>
                <w:bCs w:val="0"/>
                <w:color w:val="auto"/>
              </w:rPr>
              <w:t>0</w:t>
            </w:r>
            <w:r>
              <w:rPr>
                <w:bCs w:val="0"/>
                <w:color w:val="auto"/>
              </w:rPr>
              <w:t>.077</w:t>
            </w:r>
          </w:p>
        </w:tc>
        <w:tc>
          <w:tcPr>
            <w:tcW w:w="639" w:type="pct"/>
            <w:vAlign w:val="center"/>
          </w:tcPr>
          <w:p>
            <w:pPr>
              <w:pStyle w:val="44"/>
              <w:rPr>
                <w:bCs w:val="0"/>
                <w:color w:val="auto"/>
              </w:rPr>
            </w:pPr>
            <w:r>
              <w:rPr>
                <w:rFonts w:hint="eastAsia"/>
                <w:bCs w:val="0"/>
                <w:color w:val="auto"/>
              </w:rPr>
              <w:t>1</w:t>
            </w:r>
            <w:r>
              <w:rPr>
                <w:bCs w:val="0"/>
                <w:color w:val="auto"/>
              </w:rPr>
              <w:t>.511</w:t>
            </w:r>
          </w:p>
        </w:tc>
        <w:tc>
          <w:tcPr>
            <w:tcW w:w="639" w:type="pct"/>
            <w:vAlign w:val="center"/>
          </w:tcPr>
          <w:p>
            <w:pPr>
              <w:pStyle w:val="44"/>
              <w:rPr>
                <w:bCs w:val="0"/>
                <w:color w:val="auto"/>
              </w:rPr>
            </w:pPr>
            <w:r>
              <w:rPr>
                <w:rFonts w:hint="eastAsia"/>
                <w:bCs w:val="0"/>
                <w:color w:val="auto"/>
              </w:rPr>
              <w:t>0</w:t>
            </w:r>
            <w:r>
              <w:rPr>
                <w:bCs w:val="0"/>
                <w:color w:val="auto"/>
              </w:rPr>
              <w:t>.049</w:t>
            </w:r>
          </w:p>
        </w:tc>
        <w:tc>
          <w:tcPr>
            <w:tcW w:w="639" w:type="pct"/>
            <w:vAlign w:val="center"/>
          </w:tcPr>
          <w:p>
            <w:pPr>
              <w:pStyle w:val="44"/>
              <w:rPr>
                <w:bCs w:val="0"/>
                <w:color w:val="auto"/>
              </w:rPr>
            </w:pPr>
            <w:r>
              <w:rPr>
                <w:rFonts w:hint="eastAsia"/>
                <w:bCs w:val="0"/>
                <w:color w:val="auto"/>
              </w:rPr>
              <w:t>0</w:t>
            </w:r>
            <w:r>
              <w:rPr>
                <w:bCs w:val="0"/>
                <w:color w:val="auto"/>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6" w:type="pct"/>
            <w:vAlign w:val="center"/>
          </w:tcPr>
          <w:p>
            <w:pPr>
              <w:pStyle w:val="44"/>
              <w:rPr>
                <w:b/>
                <w:bCs w:val="0"/>
                <w:color w:val="auto"/>
              </w:rPr>
            </w:pPr>
            <w:r>
              <w:rPr>
                <w:rFonts w:hint="eastAsia"/>
                <w:bCs w:val="0"/>
                <w:color w:val="auto"/>
              </w:rPr>
              <w:t>是否控制在审批范围内</w:t>
            </w:r>
          </w:p>
        </w:tc>
        <w:tc>
          <w:tcPr>
            <w:tcW w:w="639" w:type="pct"/>
            <w:vAlign w:val="center"/>
          </w:tcPr>
          <w:p>
            <w:pPr>
              <w:pStyle w:val="44"/>
              <w:rPr>
                <w:b/>
                <w:bCs w:val="0"/>
                <w:color w:val="auto"/>
              </w:rPr>
            </w:pPr>
            <w:r>
              <w:rPr>
                <w:rFonts w:hint="eastAsia"/>
                <w:bCs w:val="0"/>
                <w:color w:val="auto"/>
              </w:rPr>
              <w:t>是</w:t>
            </w:r>
          </w:p>
        </w:tc>
        <w:tc>
          <w:tcPr>
            <w:tcW w:w="639" w:type="pct"/>
            <w:vAlign w:val="center"/>
          </w:tcPr>
          <w:p>
            <w:pPr>
              <w:pStyle w:val="44"/>
              <w:rPr>
                <w:b/>
                <w:bCs w:val="0"/>
                <w:color w:val="auto"/>
              </w:rPr>
            </w:pPr>
            <w:r>
              <w:rPr>
                <w:rFonts w:hint="eastAsia"/>
                <w:bCs w:val="0"/>
                <w:color w:val="auto"/>
              </w:rPr>
              <w:t>是</w:t>
            </w:r>
          </w:p>
        </w:tc>
        <w:tc>
          <w:tcPr>
            <w:tcW w:w="639" w:type="pct"/>
            <w:vAlign w:val="center"/>
          </w:tcPr>
          <w:p>
            <w:pPr>
              <w:pStyle w:val="44"/>
              <w:rPr>
                <w:b/>
                <w:bCs w:val="0"/>
                <w:color w:val="auto"/>
              </w:rPr>
            </w:pPr>
            <w:r>
              <w:rPr>
                <w:rFonts w:hint="eastAsia"/>
                <w:bCs w:val="0"/>
                <w:color w:val="auto"/>
              </w:rPr>
              <w:t>是</w:t>
            </w:r>
          </w:p>
        </w:tc>
        <w:tc>
          <w:tcPr>
            <w:tcW w:w="639" w:type="pct"/>
            <w:vAlign w:val="center"/>
          </w:tcPr>
          <w:p>
            <w:pPr>
              <w:pStyle w:val="44"/>
              <w:rPr>
                <w:b/>
                <w:bCs w:val="0"/>
                <w:color w:val="auto"/>
              </w:rPr>
            </w:pPr>
            <w:r>
              <w:rPr>
                <w:rFonts w:hint="eastAsia"/>
                <w:bCs w:val="0"/>
                <w:color w:val="auto"/>
              </w:rPr>
              <w:t>是</w:t>
            </w:r>
          </w:p>
        </w:tc>
        <w:tc>
          <w:tcPr>
            <w:tcW w:w="639" w:type="pct"/>
            <w:vAlign w:val="center"/>
          </w:tcPr>
          <w:p>
            <w:pPr>
              <w:pStyle w:val="44"/>
              <w:rPr>
                <w:b/>
                <w:bCs w:val="0"/>
                <w:color w:val="auto"/>
              </w:rPr>
            </w:pPr>
            <w:r>
              <w:rPr>
                <w:rFonts w:hint="eastAsia"/>
                <w:bCs w:val="0"/>
                <w:color w:val="auto"/>
              </w:rPr>
              <w:t>是</w:t>
            </w:r>
          </w:p>
        </w:tc>
        <w:tc>
          <w:tcPr>
            <w:tcW w:w="639" w:type="pct"/>
            <w:vAlign w:val="center"/>
          </w:tcPr>
          <w:p>
            <w:pPr>
              <w:pStyle w:val="44"/>
              <w:rPr>
                <w:b/>
                <w:bCs w:val="0"/>
                <w:color w:val="auto"/>
              </w:rPr>
            </w:pPr>
            <w:r>
              <w:rPr>
                <w:rFonts w:hint="eastAsia"/>
                <w:bCs w:val="0"/>
                <w:color w:val="auto"/>
              </w:rPr>
              <w:t>是</w:t>
            </w:r>
          </w:p>
        </w:tc>
      </w:tr>
    </w:tbl>
    <w:p>
      <w:pPr>
        <w:pStyle w:val="5"/>
      </w:pPr>
      <w:bookmarkStart w:id="144" w:name="_Toc81808542"/>
      <w:bookmarkStart w:id="145" w:name="_Toc81808430"/>
      <w:r>
        <w:rPr>
          <w:rFonts w:hint="eastAsia"/>
        </w:rPr>
        <w:t>1</w:t>
      </w:r>
      <w:r>
        <w:t>0.7</w:t>
      </w:r>
      <w:r>
        <w:rPr>
          <w:rFonts w:hint="eastAsia"/>
        </w:rPr>
        <w:t>结论</w:t>
      </w:r>
      <w:bookmarkEnd w:id="144"/>
      <w:bookmarkEnd w:id="145"/>
    </w:p>
    <w:p>
      <w:pPr>
        <w:ind w:firstLine="480"/>
      </w:pPr>
      <w:r>
        <w:rPr>
          <w:rFonts w:hint="eastAsia"/>
        </w:rPr>
        <w:t>综上分析，本项目已实施部分主要生产设施和环保设施运行正常，项目在验收调查期间，各项污染物监测结果可满足相关环境排放标准要求。按照建设项目环境保护“三同时”的有关要求，基本落实了环评文件及相关环保部门的要求，因此符合建设项目竣工环境保护阶段性验收条件。</w:t>
      </w:r>
    </w:p>
    <w:p>
      <w:pPr>
        <w:pStyle w:val="2"/>
        <w:ind w:left="0" w:leftChars="0" w:firstLine="0" w:firstLineChars="0"/>
        <w:rPr>
          <w:b/>
          <w:bCs/>
        </w:rPr>
        <w:sectPr>
          <w:pgSz w:w="11906" w:h="16838"/>
          <w:pgMar w:top="1418" w:right="1701" w:bottom="1418" w:left="1701" w:header="851" w:footer="992" w:gutter="0"/>
          <w:pgNumType w:fmt="numberInDash"/>
          <w:cols w:space="425" w:num="1"/>
          <w:docGrid w:type="lines" w:linePitch="312" w:charSpace="0"/>
        </w:sectPr>
      </w:pPr>
    </w:p>
    <w:p>
      <w:pPr>
        <w:ind w:firstLine="482"/>
        <w:jc w:val="center"/>
        <w:rPr>
          <w:rFonts w:eastAsia="黑体" w:cs="Times New Roman"/>
          <w:b/>
        </w:rPr>
      </w:pPr>
      <w:r>
        <w:rPr>
          <w:rFonts w:eastAsia="黑体" w:cs="Times New Roman"/>
          <w:b/>
        </w:rPr>
        <w:t>建设项目竣工环境保护“三同时”验收登记表</w:t>
      </w:r>
    </w:p>
    <w:p>
      <w:pPr>
        <w:spacing w:line="240" w:lineRule="auto"/>
        <w:ind w:firstLine="0" w:firstLineChars="0"/>
        <w:rPr>
          <w:rFonts w:cs="Times New Roman"/>
          <w:b/>
          <w:sz w:val="18"/>
          <w:szCs w:val="18"/>
        </w:rPr>
      </w:pPr>
      <w:r>
        <w:rPr>
          <w:rFonts w:cs="Times New Roman"/>
          <w:b/>
          <w:sz w:val="18"/>
          <w:szCs w:val="18"/>
        </w:rPr>
        <w:t>填表单位（盖章）：</w:t>
      </w:r>
      <w:r>
        <w:rPr>
          <w:rFonts w:hint="eastAsia" w:cs="Times New Roman"/>
          <w:b/>
          <w:sz w:val="18"/>
          <w:szCs w:val="18"/>
        </w:rPr>
        <w:t>桐乡市诺派纺织科技有限公司</w:t>
      </w:r>
      <w:r>
        <w:rPr>
          <w:rFonts w:cs="Times New Roman"/>
          <w:b/>
          <w:sz w:val="18"/>
          <w:szCs w:val="18"/>
        </w:rPr>
        <w:t xml:space="preserve">                     </w:t>
      </w:r>
      <w:r>
        <w:rPr>
          <w:rFonts w:hint="eastAsia" w:cs="Times New Roman"/>
          <w:b/>
          <w:sz w:val="18"/>
          <w:szCs w:val="18"/>
        </w:rPr>
        <w:t xml:space="preserve">   </w:t>
      </w:r>
      <w:r>
        <w:rPr>
          <w:rFonts w:cs="Times New Roman"/>
          <w:b/>
          <w:sz w:val="18"/>
          <w:szCs w:val="18"/>
        </w:rPr>
        <w:t xml:space="preserve"> 填表人（签字）：                              项目经办人（签字）：</w:t>
      </w:r>
    </w:p>
    <w:tbl>
      <w:tblPr>
        <w:tblStyle w:val="22"/>
        <w:tblW w:w="15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72"/>
        <w:gridCol w:w="567"/>
        <w:gridCol w:w="708"/>
        <w:gridCol w:w="1134"/>
        <w:gridCol w:w="284"/>
        <w:gridCol w:w="850"/>
        <w:gridCol w:w="567"/>
        <w:gridCol w:w="284"/>
        <w:gridCol w:w="425"/>
        <w:gridCol w:w="567"/>
        <w:gridCol w:w="992"/>
        <w:gridCol w:w="1134"/>
        <w:gridCol w:w="2410"/>
        <w:gridCol w:w="1134"/>
        <w:gridCol w:w="567"/>
        <w:gridCol w:w="567"/>
        <w:gridCol w:w="425"/>
        <w:gridCol w:w="709"/>
        <w:gridCol w:w="9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70" w:hRule="atLeast"/>
          <w:jc w:val="center"/>
        </w:trPr>
        <w:tc>
          <w:tcPr>
            <w:tcW w:w="430" w:type="dxa"/>
            <w:vMerge w:val="restart"/>
            <w:tcMar>
              <w:left w:w="57" w:type="dxa"/>
              <w:right w:w="57" w:type="dxa"/>
            </w:tcMar>
            <w:textDirection w:val="tbRlV"/>
            <w:vAlign w:val="center"/>
          </w:tcPr>
          <w:p>
            <w:pPr>
              <w:spacing w:line="240" w:lineRule="exact"/>
              <w:ind w:firstLine="0" w:firstLineChars="0"/>
              <w:jc w:val="center"/>
              <w:rPr>
                <w:rFonts w:cs="Times New Roman"/>
                <w:b/>
                <w:sz w:val="15"/>
                <w:szCs w:val="15"/>
              </w:rPr>
            </w:pPr>
            <w:r>
              <w:rPr>
                <w:rFonts w:cs="Times New Roman"/>
                <w:b/>
                <w:sz w:val="15"/>
                <w:szCs w:val="15"/>
              </w:rPr>
              <w:t>建设项目</w:t>
            </w:r>
          </w:p>
        </w:tc>
        <w:tc>
          <w:tcPr>
            <w:tcW w:w="1807" w:type="dxa"/>
            <w:gridSpan w:val="3"/>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项目名称</w:t>
            </w:r>
          </w:p>
        </w:tc>
        <w:tc>
          <w:tcPr>
            <w:tcW w:w="4819" w:type="dxa"/>
            <w:gridSpan w:val="8"/>
            <w:tcMar>
              <w:left w:w="57" w:type="dxa"/>
              <w:right w:w="57" w:type="dxa"/>
            </w:tcMar>
            <w:vAlign w:val="center"/>
          </w:tcPr>
          <w:p>
            <w:pPr>
              <w:spacing w:line="240" w:lineRule="exact"/>
              <w:ind w:firstLine="0" w:firstLineChars="0"/>
              <w:rPr>
                <w:rFonts w:eastAsia="宋体" w:cs="Times New Roman"/>
                <w:sz w:val="15"/>
                <w:szCs w:val="15"/>
              </w:rPr>
            </w:pPr>
            <w:r>
              <w:rPr>
                <w:rFonts w:hint="eastAsia" w:eastAsia="宋体" w:cs="Times New Roman"/>
                <w:sz w:val="15"/>
                <w:szCs w:val="15"/>
              </w:rPr>
              <w:t>年产500万米功能性装饰面料建设项目</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项目代码</w:t>
            </w:r>
          </w:p>
        </w:tc>
        <w:tc>
          <w:tcPr>
            <w:tcW w:w="2410" w:type="dxa"/>
            <w:tcMar>
              <w:left w:w="57" w:type="dxa"/>
              <w:right w:w="57" w:type="dxa"/>
            </w:tcMar>
            <w:vAlign w:val="center"/>
          </w:tcPr>
          <w:p>
            <w:pPr>
              <w:spacing w:line="240" w:lineRule="exact"/>
              <w:ind w:firstLine="0" w:firstLineChars="0"/>
              <w:rPr>
                <w:rFonts w:cs="Times New Roman"/>
                <w:bCs/>
                <w:sz w:val="15"/>
                <w:szCs w:val="15"/>
              </w:rPr>
            </w:pPr>
            <w:r>
              <w:rPr>
                <w:rFonts w:hint="eastAsia" w:cs="Times New Roman"/>
                <w:bCs/>
                <w:sz w:val="15"/>
                <w:szCs w:val="15"/>
              </w:rPr>
              <w:t>2</w:t>
            </w:r>
            <w:r>
              <w:rPr>
                <w:rFonts w:cs="Times New Roman"/>
                <w:bCs/>
                <w:sz w:val="15"/>
                <w:szCs w:val="15"/>
              </w:rPr>
              <w:t>020-330483-17-03-127254</w:t>
            </w:r>
          </w:p>
        </w:tc>
        <w:tc>
          <w:tcPr>
            <w:tcW w:w="1701"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建设地点</w:t>
            </w:r>
          </w:p>
        </w:tc>
        <w:tc>
          <w:tcPr>
            <w:tcW w:w="2631" w:type="dxa"/>
            <w:gridSpan w:val="4"/>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桐乡市洲泉镇工业功能区中小企业分区中河路1</w:t>
            </w:r>
            <w:r>
              <w:rPr>
                <w:rFonts w:cs="Times New Roman"/>
                <w:sz w:val="15"/>
                <w:szCs w:val="15"/>
              </w:rPr>
              <w:t>58号</w:t>
            </w:r>
            <w:r>
              <w:rPr>
                <w:rFonts w:hint="eastAsia" w:cs="Times New Roman"/>
                <w:sz w:val="15"/>
                <w:szCs w:val="15"/>
              </w:rPr>
              <w:t>（桐乡市炬力塑胶股份有限公司内）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行业类别（分类管理名录）</w:t>
            </w:r>
          </w:p>
        </w:tc>
        <w:tc>
          <w:tcPr>
            <w:tcW w:w="4819" w:type="dxa"/>
            <w:gridSpan w:val="8"/>
            <w:tcMar>
              <w:left w:w="57" w:type="dxa"/>
              <w:right w:w="57" w:type="dxa"/>
            </w:tcMar>
            <w:vAlign w:val="center"/>
          </w:tcPr>
          <w:p>
            <w:pPr>
              <w:spacing w:line="240" w:lineRule="exact"/>
              <w:ind w:firstLine="0" w:firstLineChars="0"/>
              <w:rPr>
                <w:rFonts w:eastAsia="宋体" w:cs="Times New Roman"/>
                <w:sz w:val="15"/>
                <w:szCs w:val="15"/>
              </w:rPr>
            </w:pPr>
            <w:r>
              <w:rPr>
                <w:rFonts w:hint="eastAsia" w:eastAsia="宋体" w:cs="Times New Roman"/>
                <w:sz w:val="15"/>
                <w:szCs w:val="15"/>
              </w:rPr>
              <w:t>C17</w:t>
            </w:r>
            <w:r>
              <w:rPr>
                <w:rFonts w:eastAsia="宋体" w:cs="Times New Roman"/>
                <w:sz w:val="15"/>
                <w:szCs w:val="15"/>
              </w:rPr>
              <w:t xml:space="preserve">52化纤织物染整精加工业 </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建设性质</w:t>
            </w:r>
          </w:p>
        </w:tc>
        <w:tc>
          <w:tcPr>
            <w:tcW w:w="4111"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sym w:font="Wingdings 2" w:char="0052"/>
            </w:r>
            <w:r>
              <w:rPr>
                <w:rFonts w:cs="Times New Roman"/>
                <w:b/>
                <w:sz w:val="15"/>
                <w:szCs w:val="15"/>
              </w:rPr>
              <w:t>新建</w:t>
            </w:r>
            <w:r>
              <w:rPr>
                <w:rFonts w:hint="eastAsia" w:cs="Times New Roman"/>
                <w:b/>
                <w:sz w:val="15"/>
                <w:szCs w:val="15"/>
              </w:rPr>
              <w:t>（迁建）</w:t>
            </w:r>
            <w:r>
              <w:rPr>
                <w:rFonts w:cs="Times New Roman"/>
                <w:b/>
                <w:sz w:val="15"/>
                <w:szCs w:val="15"/>
              </w:rPr>
              <w:t xml:space="preserve">   </w:t>
            </w:r>
            <w:r>
              <w:rPr>
                <w:rFonts w:cs="Times New Roman"/>
                <w:b/>
                <w:sz w:val="15"/>
                <w:szCs w:val="15"/>
              </w:rPr>
              <w:sym w:font="Wingdings 2" w:char="00A3"/>
            </w:r>
            <w:r>
              <w:rPr>
                <w:rFonts w:hint="eastAsia" w:cs="Times New Roman"/>
                <w:b/>
                <w:sz w:val="15"/>
                <w:szCs w:val="15"/>
              </w:rPr>
              <w:t>改扩建</w:t>
            </w:r>
            <w:r>
              <w:rPr>
                <w:rFonts w:cs="Times New Roman"/>
                <w:b/>
                <w:sz w:val="15"/>
                <w:szCs w:val="15"/>
              </w:rPr>
              <w:t xml:space="preserve">  </w:t>
            </w:r>
            <w:r>
              <w:rPr>
                <w:rFonts w:cs="Times New Roman"/>
                <w:b/>
                <w:sz w:val="15"/>
                <w:szCs w:val="15"/>
              </w:rPr>
              <w:sym w:font="Wingdings 2" w:char="00A3"/>
            </w:r>
            <w:r>
              <w:rPr>
                <w:rFonts w:cs="Times New Roman"/>
                <w:b/>
                <w:sz w:val="15"/>
                <w:szCs w:val="15"/>
              </w:rPr>
              <w:t>技术改造</w:t>
            </w:r>
          </w:p>
        </w:tc>
        <w:tc>
          <w:tcPr>
            <w:tcW w:w="992"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项目厂区中心经度/纬度</w:t>
            </w:r>
          </w:p>
        </w:tc>
        <w:tc>
          <w:tcPr>
            <w:tcW w:w="1639"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经度：120°20′34.11″</w:t>
            </w:r>
          </w:p>
          <w:p>
            <w:pPr>
              <w:spacing w:line="240" w:lineRule="exact"/>
              <w:ind w:firstLine="0" w:firstLineChars="0"/>
              <w:rPr>
                <w:rFonts w:cs="Times New Roman"/>
                <w:sz w:val="15"/>
                <w:szCs w:val="15"/>
              </w:rPr>
            </w:pPr>
            <w:r>
              <w:rPr>
                <w:rFonts w:cs="Times New Roman"/>
                <w:sz w:val="15"/>
                <w:szCs w:val="15"/>
              </w:rPr>
              <w:t>纬度：30°34′18.65″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设计生产能力</w:t>
            </w:r>
          </w:p>
        </w:tc>
        <w:tc>
          <w:tcPr>
            <w:tcW w:w="4819" w:type="dxa"/>
            <w:gridSpan w:val="8"/>
            <w:tcMar>
              <w:left w:w="57" w:type="dxa"/>
              <w:right w:w="57" w:type="dxa"/>
            </w:tcMar>
            <w:vAlign w:val="center"/>
          </w:tcPr>
          <w:p>
            <w:pPr>
              <w:spacing w:line="240" w:lineRule="exact"/>
              <w:ind w:firstLine="0" w:firstLineChars="0"/>
              <w:rPr>
                <w:rFonts w:eastAsia="宋体" w:cs="Times New Roman"/>
                <w:sz w:val="15"/>
                <w:szCs w:val="15"/>
              </w:rPr>
            </w:pPr>
            <w:r>
              <w:rPr>
                <w:rFonts w:hint="eastAsia" w:cs="Times New Roman"/>
                <w:sz w:val="15"/>
                <w:szCs w:val="15"/>
              </w:rPr>
              <w:t>年产</w:t>
            </w:r>
            <w:r>
              <w:rPr>
                <w:rFonts w:cs="Times New Roman"/>
                <w:sz w:val="15"/>
                <w:szCs w:val="15"/>
              </w:rPr>
              <w:t>500</w:t>
            </w:r>
            <w:r>
              <w:rPr>
                <w:rFonts w:hint="eastAsia" w:cs="Times New Roman"/>
                <w:sz w:val="15"/>
                <w:szCs w:val="15"/>
              </w:rPr>
              <w:t>万米功能性装饰面料</w:t>
            </w:r>
          </w:p>
        </w:tc>
        <w:tc>
          <w:tcPr>
            <w:tcW w:w="2126"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实际生产能力</w:t>
            </w:r>
          </w:p>
        </w:tc>
        <w:tc>
          <w:tcPr>
            <w:tcW w:w="2410" w:type="dxa"/>
            <w:tcMar>
              <w:left w:w="57" w:type="dxa"/>
              <w:right w:w="57" w:type="dxa"/>
            </w:tcMar>
            <w:vAlign w:val="center"/>
          </w:tcPr>
          <w:p>
            <w:pPr>
              <w:spacing w:line="240" w:lineRule="exact"/>
              <w:ind w:firstLine="0" w:firstLineChars="0"/>
              <w:rPr>
                <w:rFonts w:cs="Times New Roman"/>
                <w:b/>
                <w:sz w:val="15"/>
                <w:szCs w:val="15"/>
              </w:rPr>
            </w:pPr>
            <w:r>
              <w:rPr>
                <w:rFonts w:hint="eastAsia" w:cs="Times New Roman"/>
                <w:sz w:val="15"/>
                <w:szCs w:val="15"/>
              </w:rPr>
              <w:t>年产</w:t>
            </w:r>
            <w:r>
              <w:rPr>
                <w:rFonts w:cs="Times New Roman"/>
                <w:sz w:val="15"/>
                <w:szCs w:val="15"/>
              </w:rPr>
              <w:t>500</w:t>
            </w:r>
            <w:r>
              <w:rPr>
                <w:rFonts w:hint="eastAsia" w:cs="Times New Roman"/>
                <w:sz w:val="15"/>
                <w:szCs w:val="15"/>
              </w:rPr>
              <w:t>万米功能性装饰面料</w:t>
            </w:r>
          </w:p>
        </w:tc>
        <w:tc>
          <w:tcPr>
            <w:tcW w:w="1701"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环评单位</w:t>
            </w:r>
          </w:p>
        </w:tc>
        <w:tc>
          <w:tcPr>
            <w:tcW w:w="2631"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hint="eastAsia" w:eastAsia="宋体" w:cs="Times New Roman"/>
                <w:sz w:val="15"/>
                <w:szCs w:val="15"/>
              </w:rPr>
              <w:t>杭州环保科技咨询有限公司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环评文件审批机关</w:t>
            </w:r>
          </w:p>
        </w:tc>
        <w:tc>
          <w:tcPr>
            <w:tcW w:w="4819" w:type="dxa"/>
            <w:gridSpan w:val="8"/>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嘉兴市生态环境局桐乡分局</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审批文号</w:t>
            </w:r>
          </w:p>
        </w:tc>
        <w:tc>
          <w:tcPr>
            <w:tcW w:w="2410" w:type="dxa"/>
            <w:tcMar>
              <w:left w:w="57" w:type="dxa"/>
              <w:right w:w="57" w:type="dxa"/>
            </w:tcMar>
            <w:vAlign w:val="center"/>
          </w:tcPr>
          <w:p>
            <w:pPr>
              <w:spacing w:line="240" w:lineRule="exact"/>
              <w:ind w:firstLine="0" w:firstLineChars="0"/>
              <w:rPr>
                <w:rFonts w:cs="Times New Roman"/>
                <w:sz w:val="15"/>
                <w:szCs w:val="15"/>
              </w:rPr>
            </w:pPr>
            <w:r>
              <w:rPr>
                <w:rFonts w:hint="eastAsia" w:eastAsia="宋体" w:cs="Times New Roman"/>
                <w:sz w:val="15"/>
                <w:szCs w:val="15"/>
              </w:rPr>
              <w:t>嘉环桐建 [202</w:t>
            </w:r>
            <w:r>
              <w:rPr>
                <w:rFonts w:eastAsia="宋体" w:cs="Times New Roman"/>
                <w:sz w:val="15"/>
                <w:szCs w:val="15"/>
              </w:rPr>
              <w:t>1</w:t>
            </w:r>
            <w:r>
              <w:rPr>
                <w:rFonts w:hint="eastAsia" w:eastAsia="宋体" w:cs="Times New Roman"/>
                <w:sz w:val="15"/>
                <w:szCs w:val="15"/>
              </w:rPr>
              <w:t>]</w:t>
            </w:r>
            <w:r>
              <w:rPr>
                <w:rFonts w:eastAsia="宋体" w:cs="Times New Roman"/>
                <w:sz w:val="15"/>
                <w:szCs w:val="15"/>
              </w:rPr>
              <w:t>0158</w:t>
            </w:r>
            <w:r>
              <w:rPr>
                <w:rFonts w:hint="eastAsia" w:eastAsia="宋体" w:cs="Times New Roman"/>
                <w:sz w:val="15"/>
                <w:szCs w:val="15"/>
              </w:rPr>
              <w:t>号</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环评文件类型</w:t>
            </w:r>
          </w:p>
        </w:tc>
        <w:tc>
          <w:tcPr>
            <w:tcW w:w="2631" w:type="dxa"/>
            <w:gridSpan w:val="4"/>
            <w:tcMar>
              <w:left w:w="57" w:type="dxa"/>
              <w:right w:w="57" w:type="dxa"/>
            </w:tcMar>
            <w:vAlign w:val="center"/>
          </w:tcPr>
          <w:p>
            <w:pPr>
              <w:spacing w:line="240" w:lineRule="exact"/>
              <w:ind w:firstLine="0" w:firstLineChars="0"/>
              <w:rPr>
                <w:rFonts w:cs="Times New Roman"/>
                <w:b/>
                <w:sz w:val="15"/>
                <w:szCs w:val="15"/>
              </w:rPr>
            </w:pPr>
            <w:r>
              <w:rPr>
                <w:rFonts w:cs="Times New Roman"/>
                <w:bCs/>
                <w:sz w:val="15"/>
                <w:szCs w:val="15"/>
              </w:rPr>
              <w:t>环境影响</w:t>
            </w:r>
            <w:r>
              <w:rPr>
                <w:rFonts w:hint="eastAsia" w:cs="Times New Roman"/>
                <w:bCs/>
                <w:sz w:val="15"/>
                <w:szCs w:val="15"/>
              </w:rPr>
              <w:t>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开工日期</w:t>
            </w:r>
          </w:p>
        </w:tc>
        <w:tc>
          <w:tcPr>
            <w:tcW w:w="4819" w:type="dxa"/>
            <w:gridSpan w:val="8"/>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20</w:t>
            </w:r>
            <w:r>
              <w:rPr>
                <w:rFonts w:cs="Times New Roman"/>
                <w:sz w:val="15"/>
                <w:szCs w:val="15"/>
              </w:rPr>
              <w:t>21</w:t>
            </w:r>
            <w:r>
              <w:rPr>
                <w:rFonts w:hint="eastAsia" w:cs="Times New Roman"/>
                <w:sz w:val="15"/>
                <w:szCs w:val="15"/>
              </w:rPr>
              <w:t>年</w:t>
            </w:r>
            <w:r>
              <w:rPr>
                <w:rFonts w:cs="Times New Roman"/>
                <w:sz w:val="15"/>
                <w:szCs w:val="15"/>
              </w:rPr>
              <w:t>9</w:t>
            </w:r>
            <w:r>
              <w:rPr>
                <w:rFonts w:hint="eastAsia" w:cs="Times New Roman"/>
                <w:sz w:val="15"/>
                <w:szCs w:val="15"/>
              </w:rPr>
              <w:t>月</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竣工日期</w:t>
            </w:r>
          </w:p>
        </w:tc>
        <w:tc>
          <w:tcPr>
            <w:tcW w:w="2410" w:type="dxa"/>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202</w:t>
            </w:r>
            <w:r>
              <w:rPr>
                <w:rFonts w:cs="Times New Roman"/>
                <w:sz w:val="15"/>
                <w:szCs w:val="15"/>
              </w:rPr>
              <w:t>2</w:t>
            </w:r>
            <w:r>
              <w:rPr>
                <w:rFonts w:hint="eastAsia" w:cs="Times New Roman"/>
                <w:sz w:val="15"/>
                <w:szCs w:val="15"/>
              </w:rPr>
              <w:t>年</w:t>
            </w:r>
            <w:r>
              <w:rPr>
                <w:rFonts w:cs="Times New Roman"/>
                <w:sz w:val="15"/>
                <w:szCs w:val="15"/>
              </w:rPr>
              <w:t>7</w:t>
            </w:r>
            <w:r>
              <w:rPr>
                <w:rFonts w:hint="eastAsia" w:cs="Times New Roman"/>
                <w:sz w:val="15"/>
                <w:szCs w:val="15"/>
              </w:rPr>
              <w:t>月</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排污许可证申领时间</w:t>
            </w:r>
          </w:p>
        </w:tc>
        <w:tc>
          <w:tcPr>
            <w:tcW w:w="2631" w:type="dxa"/>
            <w:gridSpan w:val="4"/>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2</w:t>
            </w:r>
            <w:r>
              <w:rPr>
                <w:rFonts w:cs="Times New Roman"/>
                <w:sz w:val="15"/>
                <w:szCs w:val="15"/>
              </w:rPr>
              <w:t>022年</w:t>
            </w:r>
            <w:r>
              <w:rPr>
                <w:rFonts w:hint="eastAsia" w:cs="Times New Roman"/>
                <w:sz w:val="15"/>
                <w:szCs w:val="15"/>
              </w:rPr>
              <w:t>11月23日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环保设施设计单位</w:t>
            </w:r>
          </w:p>
        </w:tc>
        <w:tc>
          <w:tcPr>
            <w:tcW w:w="4819" w:type="dxa"/>
            <w:gridSpan w:val="8"/>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江苏保丽洁环境科技股份有限公司</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环保设施施工单位</w:t>
            </w:r>
          </w:p>
        </w:tc>
        <w:tc>
          <w:tcPr>
            <w:tcW w:w="2410" w:type="dxa"/>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江苏保丽洁环境科技股份有限公司</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本工程排污许可证编号</w:t>
            </w:r>
          </w:p>
        </w:tc>
        <w:tc>
          <w:tcPr>
            <w:tcW w:w="2631" w:type="dxa"/>
            <w:gridSpan w:val="4"/>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9</w:t>
            </w:r>
            <w:r>
              <w:rPr>
                <w:rFonts w:cs="Times New Roman"/>
                <w:sz w:val="15"/>
                <w:szCs w:val="15"/>
              </w:rPr>
              <w:t>1330483MA2CYYAR4E001P</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验收单位</w:t>
            </w:r>
          </w:p>
        </w:tc>
        <w:tc>
          <w:tcPr>
            <w:tcW w:w="4819" w:type="dxa"/>
            <w:gridSpan w:val="8"/>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桐乡市诺派纺织科技有限公司</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环保设施监测单位</w:t>
            </w:r>
          </w:p>
        </w:tc>
        <w:tc>
          <w:tcPr>
            <w:tcW w:w="2410" w:type="dxa"/>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浙江泓远检测科技有限公司</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验收监测时工况</w:t>
            </w:r>
          </w:p>
        </w:tc>
        <w:tc>
          <w:tcPr>
            <w:tcW w:w="2631" w:type="dxa"/>
            <w:gridSpan w:val="4"/>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投资总概算（万元）</w:t>
            </w:r>
          </w:p>
        </w:tc>
        <w:tc>
          <w:tcPr>
            <w:tcW w:w="4819" w:type="dxa"/>
            <w:gridSpan w:val="8"/>
            <w:tcMar>
              <w:left w:w="57" w:type="dxa"/>
              <w:right w:w="57" w:type="dxa"/>
            </w:tcMar>
            <w:vAlign w:val="center"/>
          </w:tcPr>
          <w:p>
            <w:pPr>
              <w:spacing w:line="240" w:lineRule="exact"/>
              <w:ind w:firstLine="0" w:firstLineChars="0"/>
              <w:rPr>
                <w:rFonts w:eastAsia="宋体" w:cs="Times New Roman"/>
                <w:bCs/>
                <w:sz w:val="15"/>
                <w:szCs w:val="15"/>
              </w:rPr>
            </w:pPr>
            <w:r>
              <w:rPr>
                <w:rFonts w:eastAsia="宋体" w:cs="Times New Roman"/>
                <w:bCs/>
                <w:sz w:val="15"/>
                <w:szCs w:val="15"/>
              </w:rPr>
              <w:t>4865</w:t>
            </w:r>
          </w:p>
        </w:tc>
        <w:tc>
          <w:tcPr>
            <w:tcW w:w="2126" w:type="dxa"/>
            <w:gridSpan w:val="2"/>
            <w:tcMar>
              <w:left w:w="57" w:type="dxa"/>
              <w:right w:w="57" w:type="dxa"/>
            </w:tcMar>
            <w:vAlign w:val="center"/>
          </w:tcPr>
          <w:p>
            <w:pPr>
              <w:tabs>
                <w:tab w:val="left" w:pos="690"/>
              </w:tabs>
              <w:spacing w:line="240" w:lineRule="exact"/>
              <w:ind w:firstLine="0" w:firstLineChars="0"/>
              <w:rPr>
                <w:rFonts w:cs="Times New Roman"/>
                <w:sz w:val="15"/>
                <w:szCs w:val="15"/>
              </w:rPr>
            </w:pPr>
            <w:r>
              <w:rPr>
                <w:rFonts w:cs="Times New Roman"/>
                <w:b/>
                <w:sz w:val="15"/>
                <w:szCs w:val="15"/>
              </w:rPr>
              <w:t>环保投资总概算（万元）</w:t>
            </w:r>
          </w:p>
        </w:tc>
        <w:tc>
          <w:tcPr>
            <w:tcW w:w="2410"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165</w:t>
            </w:r>
          </w:p>
        </w:tc>
        <w:tc>
          <w:tcPr>
            <w:tcW w:w="1701" w:type="dxa"/>
            <w:gridSpan w:val="2"/>
            <w:tcMar>
              <w:left w:w="57" w:type="dxa"/>
              <w:right w:w="57" w:type="dxa"/>
            </w:tcMar>
            <w:vAlign w:val="center"/>
          </w:tcPr>
          <w:p>
            <w:pPr>
              <w:tabs>
                <w:tab w:val="left" w:pos="690"/>
              </w:tabs>
              <w:spacing w:line="240" w:lineRule="exact"/>
              <w:ind w:firstLine="0" w:firstLineChars="0"/>
              <w:rPr>
                <w:rFonts w:cs="Times New Roman"/>
                <w:sz w:val="15"/>
                <w:szCs w:val="15"/>
              </w:rPr>
            </w:pPr>
            <w:r>
              <w:rPr>
                <w:rFonts w:cs="Times New Roman"/>
                <w:b/>
                <w:sz w:val="15"/>
                <w:szCs w:val="15"/>
              </w:rPr>
              <w:t>所占比例（%）</w:t>
            </w:r>
          </w:p>
        </w:tc>
        <w:tc>
          <w:tcPr>
            <w:tcW w:w="2631" w:type="dxa"/>
            <w:gridSpan w:val="4"/>
            <w:tcMar>
              <w:left w:w="57" w:type="dxa"/>
              <w:right w:w="57" w:type="dxa"/>
            </w:tcMar>
            <w:vAlign w:val="center"/>
          </w:tcPr>
          <w:p>
            <w:pPr>
              <w:tabs>
                <w:tab w:val="left" w:pos="690"/>
              </w:tabs>
              <w:spacing w:line="240" w:lineRule="exact"/>
              <w:ind w:firstLine="0" w:firstLineChars="0"/>
              <w:rPr>
                <w:rFonts w:eastAsia="宋体" w:cs="Times New Roman"/>
                <w:sz w:val="15"/>
                <w:szCs w:val="15"/>
              </w:rPr>
            </w:pPr>
            <w:r>
              <w:rPr>
                <w:rFonts w:eastAsia="宋体" w:cs="Times New Roman"/>
                <w:sz w:val="15"/>
                <w:szCs w:val="15"/>
              </w:rPr>
              <w:t>3.39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实际总投资（万元）</w:t>
            </w:r>
          </w:p>
        </w:tc>
        <w:tc>
          <w:tcPr>
            <w:tcW w:w="4819" w:type="dxa"/>
            <w:gridSpan w:val="8"/>
            <w:tcMar>
              <w:left w:w="57" w:type="dxa"/>
              <w:right w:w="57" w:type="dxa"/>
            </w:tcMar>
          </w:tcPr>
          <w:p>
            <w:pPr>
              <w:spacing w:line="240" w:lineRule="exact"/>
              <w:ind w:firstLine="0" w:firstLineChars="0"/>
              <w:rPr>
                <w:rFonts w:eastAsia="宋体" w:cs="Times New Roman"/>
                <w:bCs/>
                <w:sz w:val="15"/>
                <w:szCs w:val="15"/>
              </w:rPr>
            </w:pPr>
            <w:r>
              <w:rPr>
                <w:rFonts w:eastAsia="宋体" w:cs="Times New Roman"/>
                <w:bCs/>
                <w:sz w:val="15"/>
                <w:szCs w:val="15"/>
              </w:rPr>
              <w:t>2890</w:t>
            </w:r>
          </w:p>
        </w:tc>
        <w:tc>
          <w:tcPr>
            <w:tcW w:w="2126"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实际环保投资（万元）</w:t>
            </w:r>
          </w:p>
        </w:tc>
        <w:tc>
          <w:tcPr>
            <w:tcW w:w="2410" w:type="dxa"/>
            <w:tcMar>
              <w:left w:w="57" w:type="dxa"/>
              <w:right w:w="57" w:type="dxa"/>
            </w:tcMar>
          </w:tcPr>
          <w:p>
            <w:pPr>
              <w:spacing w:line="240" w:lineRule="exact"/>
              <w:ind w:firstLine="0" w:firstLineChars="0"/>
              <w:rPr>
                <w:rFonts w:eastAsia="宋体" w:cs="Times New Roman"/>
                <w:sz w:val="15"/>
                <w:szCs w:val="15"/>
              </w:rPr>
            </w:pPr>
            <w:r>
              <w:rPr>
                <w:rFonts w:eastAsia="宋体" w:cs="Times New Roman"/>
                <w:sz w:val="15"/>
                <w:szCs w:val="15"/>
              </w:rPr>
              <w:t>142</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所占比例（%）</w:t>
            </w:r>
          </w:p>
        </w:tc>
        <w:tc>
          <w:tcPr>
            <w:tcW w:w="2631"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4.91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废水治理（万元）</w:t>
            </w:r>
          </w:p>
        </w:tc>
        <w:tc>
          <w:tcPr>
            <w:tcW w:w="708"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47</w:t>
            </w:r>
          </w:p>
        </w:tc>
        <w:tc>
          <w:tcPr>
            <w:tcW w:w="1418"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废气治理（万元）</w:t>
            </w:r>
          </w:p>
        </w:tc>
        <w:tc>
          <w:tcPr>
            <w:tcW w:w="850"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77</w:t>
            </w:r>
          </w:p>
        </w:tc>
        <w:tc>
          <w:tcPr>
            <w:tcW w:w="1276" w:type="dxa"/>
            <w:gridSpan w:val="3"/>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噪声治理（万元）</w:t>
            </w:r>
          </w:p>
        </w:tc>
        <w:tc>
          <w:tcPr>
            <w:tcW w:w="567"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3</w:t>
            </w:r>
          </w:p>
        </w:tc>
        <w:tc>
          <w:tcPr>
            <w:tcW w:w="2126"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固体废物治理（万元）</w:t>
            </w:r>
          </w:p>
        </w:tc>
        <w:tc>
          <w:tcPr>
            <w:tcW w:w="2410"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10</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绿化及生态（万元）</w:t>
            </w:r>
          </w:p>
        </w:tc>
        <w:tc>
          <w:tcPr>
            <w:tcW w:w="567"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w:t>
            </w:r>
          </w:p>
        </w:tc>
        <w:tc>
          <w:tcPr>
            <w:tcW w:w="1134"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其他（万元）</w:t>
            </w:r>
          </w:p>
        </w:tc>
        <w:tc>
          <w:tcPr>
            <w:tcW w:w="930" w:type="dxa"/>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cs="Times New Roman"/>
                <w:sz w:val="15"/>
                <w:szCs w:val="15"/>
              </w:rPr>
            </w:pPr>
          </w:p>
        </w:tc>
        <w:tc>
          <w:tcPr>
            <w:tcW w:w="1807" w:type="dxa"/>
            <w:gridSpan w:val="3"/>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新增废水处理设施能力</w:t>
            </w:r>
          </w:p>
        </w:tc>
        <w:tc>
          <w:tcPr>
            <w:tcW w:w="4819" w:type="dxa"/>
            <w:gridSpan w:val="8"/>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w:t>
            </w:r>
          </w:p>
        </w:tc>
        <w:tc>
          <w:tcPr>
            <w:tcW w:w="2126"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新增废气处理设施能力</w:t>
            </w:r>
          </w:p>
        </w:tc>
        <w:tc>
          <w:tcPr>
            <w:tcW w:w="2410" w:type="dxa"/>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w:t>
            </w:r>
          </w:p>
        </w:tc>
        <w:tc>
          <w:tcPr>
            <w:tcW w:w="1701"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年平均工作时</w:t>
            </w:r>
          </w:p>
        </w:tc>
        <w:tc>
          <w:tcPr>
            <w:tcW w:w="2631"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4800</w:t>
            </w:r>
            <w:r>
              <w:rPr>
                <w:rFonts w:hint="eastAsia" w:eastAsia="宋体" w:cs="Times New Roman"/>
                <w:sz w:val="15"/>
                <w:szCs w:val="15"/>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237" w:type="dxa"/>
            <w:gridSpan w:val="4"/>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运营单位</w:t>
            </w:r>
          </w:p>
        </w:tc>
        <w:tc>
          <w:tcPr>
            <w:tcW w:w="3543" w:type="dxa"/>
            <w:gridSpan w:val="5"/>
            <w:tcMar>
              <w:left w:w="57" w:type="dxa"/>
              <w:right w:w="57" w:type="dxa"/>
            </w:tcMar>
            <w:vAlign w:val="center"/>
          </w:tcPr>
          <w:p>
            <w:pPr>
              <w:spacing w:line="240" w:lineRule="exact"/>
              <w:ind w:firstLine="0" w:firstLineChars="0"/>
              <w:rPr>
                <w:rFonts w:cs="Times New Roman"/>
                <w:sz w:val="15"/>
                <w:szCs w:val="15"/>
              </w:rPr>
            </w:pPr>
            <w:r>
              <w:rPr>
                <w:rFonts w:hint="eastAsia" w:cs="Times New Roman"/>
                <w:sz w:val="15"/>
                <w:szCs w:val="15"/>
              </w:rPr>
              <w:t>桐乡市诺派纺织科技有限公司</w:t>
            </w:r>
          </w:p>
        </w:tc>
        <w:tc>
          <w:tcPr>
            <w:tcW w:w="3402" w:type="dxa"/>
            <w:gridSpan w:val="5"/>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运营单位社会统一信用代码（或组织机构代码）</w:t>
            </w:r>
          </w:p>
        </w:tc>
        <w:tc>
          <w:tcPr>
            <w:tcW w:w="2410" w:type="dxa"/>
            <w:tcMar>
              <w:left w:w="57" w:type="dxa"/>
              <w:right w:w="57" w:type="dxa"/>
            </w:tcMar>
            <w:vAlign w:val="center"/>
          </w:tcPr>
          <w:p>
            <w:pPr>
              <w:spacing w:line="240" w:lineRule="exact"/>
              <w:ind w:firstLine="0" w:firstLineChars="0"/>
              <w:rPr>
                <w:rFonts w:cs="Times New Roman"/>
                <w:b/>
                <w:sz w:val="15"/>
                <w:szCs w:val="15"/>
              </w:rPr>
            </w:pPr>
            <w:r>
              <w:rPr>
                <w:rFonts w:eastAsia="宋体" w:cs="Times New Roman"/>
                <w:sz w:val="15"/>
                <w:szCs w:val="15"/>
              </w:rPr>
              <w:t>91330483MA2CYYAR4E</w:t>
            </w:r>
          </w:p>
        </w:tc>
        <w:tc>
          <w:tcPr>
            <w:tcW w:w="170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验收时间</w:t>
            </w:r>
          </w:p>
        </w:tc>
        <w:tc>
          <w:tcPr>
            <w:tcW w:w="2631" w:type="dxa"/>
            <w:gridSpan w:val="4"/>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2022</w:t>
            </w:r>
            <w:r>
              <w:rPr>
                <w:rFonts w:hint="eastAsia" w:cs="Times New Roman"/>
                <w:sz w:val="15"/>
                <w:szCs w:val="15"/>
              </w:rPr>
              <w:t>年</w:t>
            </w:r>
            <w:r>
              <w:rPr>
                <w:rFonts w:cs="Times New Roman"/>
                <w:sz w:val="15"/>
                <w:szCs w:val="15"/>
              </w:rPr>
              <w:t>12</w:t>
            </w:r>
            <w:r>
              <w:rPr>
                <w:rFonts w:hint="eastAsia" w:cs="Times New Roman"/>
                <w:sz w:val="15"/>
                <w:szCs w:val="15"/>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pPr>
              <w:spacing w:line="240" w:lineRule="exact"/>
              <w:ind w:firstLine="0" w:firstLineChars="0"/>
              <w:rPr>
                <w:rFonts w:eastAsia="黑体" w:cs="Times New Roman"/>
                <w:b/>
                <w:spacing w:val="20"/>
                <w:sz w:val="15"/>
                <w:szCs w:val="15"/>
              </w:rPr>
            </w:pPr>
            <w:r>
              <w:rPr>
                <w:rFonts w:eastAsia="黑体" w:cs="Times New Roman"/>
                <w:b/>
                <w:spacing w:val="20"/>
                <w:sz w:val="15"/>
                <w:szCs w:val="15"/>
              </w:rPr>
              <w:t>污染</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物排</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放达</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标与</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总量</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控制（工</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业建</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设项</w:t>
            </w:r>
          </w:p>
          <w:p>
            <w:pPr>
              <w:spacing w:line="240" w:lineRule="exact"/>
              <w:ind w:firstLine="0" w:firstLineChars="0"/>
              <w:rPr>
                <w:rFonts w:eastAsia="黑体" w:cs="Times New Roman"/>
                <w:b/>
                <w:spacing w:val="20"/>
                <w:sz w:val="15"/>
                <w:szCs w:val="15"/>
              </w:rPr>
            </w:pPr>
            <w:r>
              <w:rPr>
                <w:rFonts w:eastAsia="黑体" w:cs="Times New Roman"/>
                <w:b/>
                <w:spacing w:val="20"/>
                <w:sz w:val="15"/>
                <w:szCs w:val="15"/>
              </w:rPr>
              <w:t>目详填）</w:t>
            </w:r>
          </w:p>
        </w:tc>
        <w:tc>
          <w:tcPr>
            <w:tcW w:w="1639"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污染物</w:t>
            </w:r>
          </w:p>
        </w:tc>
        <w:tc>
          <w:tcPr>
            <w:tcW w:w="708" w:type="dxa"/>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原有排放量(1)</w:t>
            </w:r>
          </w:p>
        </w:tc>
        <w:tc>
          <w:tcPr>
            <w:tcW w:w="1134" w:type="dxa"/>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本期工程实际排放浓度(2)</w:t>
            </w:r>
          </w:p>
        </w:tc>
        <w:tc>
          <w:tcPr>
            <w:tcW w:w="1134"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本期工程允许排放浓度(3)</w:t>
            </w:r>
          </w:p>
        </w:tc>
        <w:tc>
          <w:tcPr>
            <w:tcW w:w="851"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本期工程产生量(4)</w:t>
            </w:r>
          </w:p>
        </w:tc>
        <w:tc>
          <w:tcPr>
            <w:tcW w:w="992"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本期工程自身削减量(5)</w:t>
            </w:r>
          </w:p>
        </w:tc>
        <w:tc>
          <w:tcPr>
            <w:tcW w:w="992" w:type="dxa"/>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本期工程实际排放量(6)</w:t>
            </w:r>
          </w:p>
        </w:tc>
        <w:tc>
          <w:tcPr>
            <w:tcW w:w="1134" w:type="dxa"/>
            <w:tcMar>
              <w:left w:w="57" w:type="dxa"/>
              <w:right w:w="57" w:type="dxa"/>
            </w:tcMar>
            <w:vAlign w:val="center"/>
          </w:tcPr>
          <w:p>
            <w:pPr>
              <w:spacing w:line="240" w:lineRule="exact"/>
              <w:ind w:firstLine="0" w:firstLineChars="0"/>
              <w:jc w:val="center"/>
              <w:rPr>
                <w:rFonts w:cs="Times New Roman"/>
                <w:b/>
                <w:sz w:val="15"/>
                <w:szCs w:val="15"/>
              </w:rPr>
            </w:pPr>
            <w:r>
              <w:rPr>
                <w:rFonts w:cs="Times New Roman"/>
                <w:b/>
                <w:sz w:val="15"/>
                <w:szCs w:val="15"/>
              </w:rPr>
              <w:t>本期工程核定排放总量(7)</w:t>
            </w:r>
          </w:p>
        </w:tc>
        <w:tc>
          <w:tcPr>
            <w:tcW w:w="2410" w:type="dxa"/>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本期工程“以新带老”削减量(8)</w:t>
            </w:r>
          </w:p>
        </w:tc>
        <w:tc>
          <w:tcPr>
            <w:tcW w:w="1134" w:type="dxa"/>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全厂实际排放总量(9)</w:t>
            </w:r>
          </w:p>
        </w:tc>
        <w:tc>
          <w:tcPr>
            <w:tcW w:w="1134"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全厂核定排放总量(10)</w:t>
            </w:r>
          </w:p>
        </w:tc>
        <w:tc>
          <w:tcPr>
            <w:tcW w:w="1134"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区域平衡替代削减量(11)</w:t>
            </w:r>
          </w:p>
        </w:tc>
        <w:tc>
          <w:tcPr>
            <w:tcW w:w="930" w:type="dxa"/>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598" w:type="dxa"/>
            <w:gridSpan w:val="2"/>
            <w:vMerge w:val="continue"/>
            <w:tcMar>
              <w:left w:w="57" w:type="dxa"/>
              <w:right w:w="57" w:type="dxa"/>
            </w:tcMar>
            <w:vAlign w:val="cente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sz w:val="15"/>
                <w:szCs w:val="15"/>
              </w:rPr>
            </w:pPr>
            <w:r>
              <w:rPr>
                <w:rFonts w:cs="Times New Roman"/>
                <w:b/>
                <w:sz w:val="15"/>
                <w:szCs w:val="15"/>
              </w:rPr>
              <w:t>废水</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0.214</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348</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eastAsia="宋体" w:cs="Times New Roman"/>
                <w:sz w:val="15"/>
                <w:szCs w:val="15"/>
              </w:rPr>
              <w:t>0.0.214</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.348</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化学需氧量</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0.107</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.174</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0.107</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.174</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氨氮</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0.011</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.017</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0.011</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.017</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石油类</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eastAsia="黑体" w:cs="Times New Roman"/>
                <w:b/>
                <w:sz w:val="15"/>
                <w:szCs w:val="15"/>
              </w:rPr>
            </w:pPr>
            <w:r>
              <w:rPr>
                <w:rFonts w:cs="Times New Roman"/>
                <w:b/>
                <w:sz w:val="15"/>
                <w:szCs w:val="15"/>
              </w:rPr>
              <w:t>废气</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二氧化硫</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0.048</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0.049</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0.048</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.049</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烟尘</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工业粉尘</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0.062</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0.077</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0.062</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077</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cs="Times New Roman"/>
                <w:b/>
                <w:sz w:val="15"/>
                <w:szCs w:val="15"/>
              </w:rPr>
            </w:pPr>
            <w:r>
              <w:rPr>
                <w:rFonts w:cs="Times New Roman"/>
                <w:b/>
                <w:sz w:val="15"/>
                <w:szCs w:val="15"/>
              </w:rPr>
              <w:t>氮氧化物</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0.449</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0.460</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0.449</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hint="eastAsia" w:cs="Times New Roman"/>
                <w:sz w:val="15"/>
                <w:szCs w:val="15"/>
              </w:rPr>
              <w:t>0</w:t>
            </w:r>
            <w:r>
              <w:rPr>
                <w:rFonts w:cs="Times New Roman"/>
                <w:sz w:val="15"/>
                <w:szCs w:val="15"/>
              </w:rPr>
              <w:t>.460</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639" w:type="dxa"/>
            <w:gridSpan w:val="2"/>
            <w:tcMar>
              <w:left w:w="57" w:type="dxa"/>
              <w:right w:w="57" w:type="dxa"/>
            </w:tcMar>
            <w:vAlign w:val="center"/>
          </w:tcPr>
          <w:p>
            <w:pPr>
              <w:spacing w:line="240" w:lineRule="exact"/>
              <w:ind w:firstLine="0" w:firstLineChars="0"/>
              <w:rPr>
                <w:rFonts w:eastAsia="黑体" w:cs="Times New Roman"/>
                <w:b/>
                <w:sz w:val="15"/>
                <w:szCs w:val="15"/>
              </w:rPr>
            </w:pPr>
            <w:r>
              <w:rPr>
                <w:rFonts w:cs="Times New Roman"/>
                <w:b/>
                <w:sz w:val="15"/>
                <w:szCs w:val="15"/>
              </w:rPr>
              <w:t>工业固体废物</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072" w:type="dxa"/>
            <w:vMerge w:val="restart"/>
            <w:tcMar>
              <w:left w:w="57" w:type="dxa"/>
              <w:right w:w="57" w:type="dxa"/>
            </w:tcMar>
          </w:tcPr>
          <w:p>
            <w:pPr>
              <w:spacing w:line="240" w:lineRule="exact"/>
              <w:ind w:firstLine="0" w:firstLineChars="0"/>
              <w:rPr>
                <w:rFonts w:cs="Times New Roman"/>
                <w:sz w:val="15"/>
                <w:szCs w:val="15"/>
              </w:rPr>
            </w:pPr>
            <w:r>
              <w:rPr>
                <w:rFonts w:cs="Times New Roman"/>
                <w:b/>
                <w:sz w:val="15"/>
                <w:szCs w:val="15"/>
              </w:rPr>
              <w:t>与项目有关的其他特征污染物</w:t>
            </w:r>
          </w:p>
        </w:tc>
        <w:tc>
          <w:tcPr>
            <w:tcW w:w="567" w:type="dxa"/>
            <w:tcMar>
              <w:left w:w="57" w:type="dxa"/>
              <w:right w:w="57" w:type="dxa"/>
            </w:tcMar>
            <w:vAlign w:val="center"/>
          </w:tcPr>
          <w:p>
            <w:pPr>
              <w:spacing w:line="240" w:lineRule="exact"/>
              <w:ind w:firstLine="0" w:firstLineChars="0"/>
              <w:rPr>
                <w:rFonts w:cs="Times New Roman"/>
                <w:sz w:val="15"/>
                <w:szCs w:val="15"/>
              </w:rPr>
            </w:pPr>
            <w:r>
              <w:rPr>
                <w:rFonts w:cs="Times New Roman"/>
                <w:sz w:val="15"/>
                <w:szCs w:val="15"/>
              </w:rPr>
              <w:t>VOC</w:t>
            </w:r>
            <w:r>
              <w:rPr>
                <w:rFonts w:cs="Times New Roman"/>
                <w:sz w:val="15"/>
                <w:szCs w:val="15"/>
                <w:vertAlign w:val="subscript"/>
              </w:rPr>
              <w:t>S</w:t>
            </w: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0.468</w:t>
            </w: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1.511</w:t>
            </w: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0.468</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r>
              <w:rPr>
                <w:rFonts w:cs="Times New Roman"/>
                <w:sz w:val="15"/>
                <w:szCs w:val="15"/>
              </w:rPr>
              <w:t>1.511</w:t>
            </w: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072" w:type="dxa"/>
            <w:vMerge w:val="continue"/>
            <w:tcMar>
              <w:left w:w="57" w:type="dxa"/>
              <w:right w:w="57" w:type="dxa"/>
            </w:tcMar>
          </w:tcPr>
          <w:p>
            <w:pPr>
              <w:spacing w:line="240" w:lineRule="exact"/>
              <w:ind w:firstLine="0" w:firstLineChars="0"/>
              <w:rPr>
                <w:rFonts w:cs="Times New Roman"/>
                <w:b/>
                <w:sz w:val="15"/>
                <w:szCs w:val="15"/>
              </w:rPr>
            </w:pPr>
          </w:p>
        </w:tc>
        <w:tc>
          <w:tcPr>
            <w:tcW w:w="567" w:type="dxa"/>
            <w:tcMar>
              <w:left w:w="57" w:type="dxa"/>
              <w:right w:w="57" w:type="dxa"/>
            </w:tcMar>
            <w:vAlign w:val="center"/>
          </w:tcPr>
          <w:p>
            <w:pPr>
              <w:spacing w:line="240" w:lineRule="exact"/>
              <w:ind w:firstLine="0" w:firstLineChars="0"/>
              <w:rPr>
                <w:rFonts w:cs="Times New Roman"/>
                <w:sz w:val="15"/>
                <w:szCs w:val="15"/>
              </w:rPr>
            </w:pP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cs="Times New Roman"/>
                <w:sz w:val="15"/>
                <w:szCs w:val="15"/>
              </w:rPr>
            </w:pPr>
          </w:p>
        </w:tc>
        <w:tc>
          <w:tcPr>
            <w:tcW w:w="1072" w:type="dxa"/>
            <w:vMerge w:val="continue"/>
            <w:tcMar>
              <w:left w:w="57" w:type="dxa"/>
              <w:right w:w="57" w:type="dxa"/>
            </w:tcMar>
          </w:tcPr>
          <w:p>
            <w:pPr>
              <w:spacing w:line="240" w:lineRule="exact"/>
              <w:ind w:firstLine="0" w:firstLineChars="0"/>
              <w:rPr>
                <w:rFonts w:cs="Times New Roman"/>
                <w:b/>
                <w:sz w:val="15"/>
                <w:szCs w:val="15"/>
              </w:rPr>
            </w:pPr>
          </w:p>
        </w:tc>
        <w:tc>
          <w:tcPr>
            <w:tcW w:w="567" w:type="dxa"/>
            <w:tcMar>
              <w:left w:w="57" w:type="dxa"/>
              <w:right w:w="57" w:type="dxa"/>
            </w:tcMar>
            <w:vAlign w:val="center"/>
          </w:tcPr>
          <w:p>
            <w:pPr>
              <w:spacing w:line="240" w:lineRule="exact"/>
              <w:ind w:firstLine="0" w:firstLineChars="0"/>
              <w:rPr>
                <w:rFonts w:cs="Times New Roman"/>
                <w:sz w:val="15"/>
                <w:szCs w:val="15"/>
              </w:rPr>
            </w:pPr>
          </w:p>
        </w:tc>
        <w:tc>
          <w:tcPr>
            <w:tcW w:w="708"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851"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92"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2410"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1134" w:type="dxa"/>
            <w:gridSpan w:val="2"/>
            <w:tcMar>
              <w:left w:w="57" w:type="dxa"/>
              <w:right w:w="57" w:type="dxa"/>
            </w:tcMar>
            <w:vAlign w:val="center"/>
          </w:tcPr>
          <w:p>
            <w:pPr>
              <w:spacing w:line="240" w:lineRule="exact"/>
              <w:ind w:firstLine="0" w:firstLineChars="0"/>
              <w:jc w:val="center"/>
              <w:rPr>
                <w:rFonts w:cs="Times New Roman"/>
                <w:sz w:val="15"/>
                <w:szCs w:val="15"/>
              </w:rPr>
            </w:pPr>
          </w:p>
        </w:tc>
        <w:tc>
          <w:tcPr>
            <w:tcW w:w="930" w:type="dxa"/>
            <w:tcMar>
              <w:left w:w="57" w:type="dxa"/>
              <w:right w:w="57" w:type="dxa"/>
            </w:tcMar>
            <w:vAlign w:val="center"/>
          </w:tcPr>
          <w:p>
            <w:pPr>
              <w:spacing w:line="240" w:lineRule="exact"/>
              <w:ind w:firstLine="0" w:firstLineChars="0"/>
              <w:jc w:val="center"/>
              <w:rPr>
                <w:rFonts w:cs="Times New Roman"/>
                <w:sz w:val="15"/>
                <w:szCs w:val="15"/>
              </w:rPr>
            </w:pPr>
          </w:p>
        </w:tc>
      </w:tr>
    </w:tbl>
    <w:p>
      <w:pPr>
        <w:spacing w:line="240" w:lineRule="exact"/>
        <w:ind w:firstLine="0" w:firstLineChars="0"/>
        <w:rPr>
          <w:rFonts w:cs="Times New Roman"/>
          <w:sz w:val="15"/>
          <w:szCs w:val="15"/>
        </w:rPr>
        <w:sectPr>
          <w:pgSz w:w="16838" w:h="11906" w:orient="landscape"/>
          <w:pgMar w:top="1418" w:right="1701" w:bottom="1418" w:left="1701" w:header="851" w:footer="567" w:gutter="0"/>
          <w:pgNumType w:fmt="numberInDash"/>
          <w:cols w:space="0" w:num="1"/>
          <w:docGrid w:type="lines" w:linePitch="318" w:charSpace="0"/>
        </w:sectPr>
      </w:pPr>
      <w:r>
        <w:rPr>
          <w:rFonts w:cs="Times New Roman"/>
          <w:b/>
          <w:sz w:val="15"/>
          <w:szCs w:val="15"/>
        </w:rPr>
        <w:t>注</w:t>
      </w:r>
      <w:r>
        <w:rPr>
          <w:rFonts w:cs="Times New Roman"/>
          <w:sz w:val="15"/>
          <w:szCs w:val="15"/>
        </w:rPr>
        <w:t>：1、</w:t>
      </w:r>
      <w:r>
        <w:rPr>
          <w:rFonts w:cs="Times New Roman"/>
          <w:spacing w:val="-4"/>
          <w:sz w:val="15"/>
          <w:szCs w:val="15"/>
        </w:rPr>
        <w:t>排放增减量：（+）表示增加，（-）表示减少。2、(12)=(6)-(8)-(11)，（9）= (4)-(5)-(8)- (11) +（1）。3、计量单位：废水排放量——万吨/年；废气排放量——万标立方米/年；工业固体废物排放</w:t>
      </w:r>
      <w:r>
        <w:rPr>
          <w:rFonts w:cs="Times New Roman"/>
          <w:sz w:val="15"/>
          <w:szCs w:val="15"/>
        </w:rPr>
        <w:t>量——万吨/年；水污染物排放浓度——毫克/升</w:t>
      </w:r>
    </w:p>
    <w:p>
      <w:pPr>
        <w:ind w:firstLine="0" w:firstLineChars="0"/>
        <w:rPr>
          <w:rFonts w:asciiTheme="majorEastAsia" w:hAnsiTheme="majorEastAsia" w:eastAsiaTheme="majorEastAsia"/>
          <w:b/>
          <w:sz w:val="28"/>
          <w:szCs w:val="28"/>
        </w:rPr>
      </w:pPr>
      <w:bookmarkStart w:id="146" w:name="_Toc81808543"/>
      <w:bookmarkStart w:id="147" w:name="_Toc81808431"/>
      <w:r>
        <w:rPr>
          <w:rFonts w:hint="eastAsia" w:asciiTheme="majorEastAsia" w:hAnsiTheme="majorEastAsia" w:eastAsiaTheme="majorEastAsia"/>
          <w:b/>
          <w:sz w:val="28"/>
          <w:szCs w:val="28"/>
        </w:rPr>
        <w:t>附件</w:t>
      </w:r>
      <w:bookmarkEnd w:id="146"/>
      <w:bookmarkEnd w:id="147"/>
    </w:p>
    <w:p>
      <w:pPr>
        <w:ind w:firstLine="0" w:firstLineChars="0"/>
        <w:rPr>
          <w:rFonts w:cs="Times New Roman" w:eastAsiaTheme="majorEastAsia"/>
          <w:b/>
          <w:sz w:val="28"/>
          <w:szCs w:val="28"/>
        </w:rPr>
      </w:pPr>
      <w:bookmarkStart w:id="148" w:name="_Toc81808544"/>
      <w:bookmarkStart w:id="149" w:name="_Toc81808432"/>
      <w:r>
        <w:rPr>
          <w:rFonts w:cs="Times New Roman" w:eastAsiaTheme="majorEastAsia"/>
          <w:b/>
          <w:sz w:val="28"/>
          <w:szCs w:val="28"/>
        </w:rPr>
        <w:t>附件1 营业执照</w:t>
      </w:r>
      <w:bookmarkEnd w:id="148"/>
      <w:bookmarkEnd w:id="149"/>
    </w:p>
    <w:p>
      <w:pPr>
        <w:pStyle w:val="2"/>
        <w:ind w:left="0" w:leftChars="0" w:firstLine="0" w:firstLineChars="0"/>
        <w:jc w:val="center"/>
        <w:rPr>
          <w:b/>
          <w:bCs/>
        </w:rPr>
      </w:pPr>
      <w:r>
        <w:drawing>
          <wp:inline distT="0" distB="0" distL="0" distR="0">
            <wp:extent cx="4733290" cy="6359525"/>
            <wp:effectExtent l="0" t="0" r="0" b="317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3"/>
                    <a:stretch>
                      <a:fillRect/>
                    </a:stretch>
                  </pic:blipFill>
                  <pic:spPr>
                    <a:xfrm rot="10800000">
                      <a:off x="0" y="0"/>
                      <a:ext cx="4739702" cy="6368468"/>
                    </a:xfrm>
                    <a:prstGeom prst="rect">
                      <a:avLst/>
                    </a:prstGeom>
                  </pic:spPr>
                </pic:pic>
              </a:graphicData>
            </a:graphic>
          </wp:inline>
        </w:drawing>
      </w:r>
    </w:p>
    <w:p>
      <w:pPr>
        <w:spacing w:line="240" w:lineRule="auto"/>
        <w:ind w:firstLine="0" w:firstLineChars="0"/>
        <w:jc w:val="center"/>
        <w:rPr>
          <w:b/>
          <w:bCs/>
        </w:rPr>
      </w:pPr>
      <w:r>
        <w:rPr>
          <w:rFonts w:hint="eastAsia"/>
          <w:b/>
          <w:bCs/>
        </w:rPr>
        <w:br w:type="page"/>
      </w:r>
    </w:p>
    <w:p>
      <w:pPr>
        <w:pStyle w:val="5"/>
        <w:sectPr>
          <w:footerReference r:id="rId23" w:type="default"/>
          <w:pgSz w:w="11906" w:h="16838"/>
          <w:pgMar w:top="1418" w:right="1701" w:bottom="1418" w:left="1701" w:header="851" w:footer="992" w:gutter="0"/>
          <w:pgNumType w:fmt="numberInDash"/>
          <w:cols w:space="0" w:num="1"/>
          <w:docGrid w:type="lines" w:linePitch="332" w:charSpace="0"/>
        </w:sectPr>
      </w:pPr>
      <w:bookmarkStart w:id="150" w:name="_Toc81808545"/>
      <w:bookmarkStart w:id="151" w:name="_Toc81808433"/>
    </w:p>
    <w:p>
      <w:pPr>
        <w:ind w:firstLine="0" w:firstLineChars="0"/>
        <w:rPr>
          <w:rFonts w:cs="Times New Roman" w:eastAsiaTheme="majorEastAsia"/>
          <w:b/>
          <w:sz w:val="28"/>
          <w:szCs w:val="28"/>
        </w:rPr>
      </w:pPr>
      <w:r>
        <w:rPr>
          <w:rFonts w:hint="eastAsia" w:cs="Times New Roman" w:eastAsiaTheme="majorEastAsia"/>
          <w:b/>
          <w:sz w:val="28"/>
          <w:szCs w:val="28"/>
        </w:rPr>
        <w:t>附件2</w:t>
      </w:r>
      <w:r>
        <w:rPr>
          <w:rFonts w:cs="Times New Roman" w:eastAsiaTheme="majorEastAsia"/>
          <w:b/>
          <w:sz w:val="28"/>
          <w:szCs w:val="28"/>
        </w:rPr>
        <w:t xml:space="preserve"> </w:t>
      </w:r>
      <w:r>
        <w:rPr>
          <w:rFonts w:hint="eastAsia" w:cs="Times New Roman" w:eastAsiaTheme="majorEastAsia"/>
          <w:b/>
          <w:sz w:val="28"/>
          <w:szCs w:val="28"/>
        </w:rPr>
        <w:t>环评</w:t>
      </w:r>
      <w:bookmarkEnd w:id="150"/>
      <w:bookmarkEnd w:id="151"/>
      <w:r>
        <w:rPr>
          <w:rFonts w:hint="eastAsia" w:cs="Times New Roman" w:eastAsiaTheme="majorEastAsia"/>
          <w:b/>
          <w:sz w:val="28"/>
          <w:szCs w:val="28"/>
        </w:rPr>
        <w:t>批复</w:t>
      </w:r>
    </w:p>
    <w:p>
      <w:pPr>
        <w:pStyle w:val="2"/>
        <w:ind w:left="0" w:leftChars="0" w:firstLine="0" w:firstLineChars="0"/>
        <w:jc w:val="center"/>
      </w:pPr>
      <w:r>
        <w:drawing>
          <wp:inline distT="0" distB="0" distL="0" distR="0">
            <wp:extent cx="5400040" cy="6798945"/>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4"/>
                    <a:stretch>
                      <a:fillRect/>
                    </a:stretch>
                  </pic:blipFill>
                  <pic:spPr>
                    <a:xfrm>
                      <a:off x="0" y="0"/>
                      <a:ext cx="5400040" cy="6798945"/>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5400040" cy="7007225"/>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5"/>
                    <a:stretch>
                      <a:fillRect/>
                    </a:stretch>
                  </pic:blipFill>
                  <pic:spPr>
                    <a:xfrm>
                      <a:off x="0" y="0"/>
                      <a:ext cx="5400040" cy="7007225"/>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5400040" cy="692340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6"/>
                    <a:stretch>
                      <a:fillRect/>
                    </a:stretch>
                  </pic:blipFill>
                  <pic:spPr>
                    <a:xfrm>
                      <a:off x="0" y="0"/>
                      <a:ext cx="5400040" cy="6923405"/>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5400040" cy="707453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7"/>
                    <a:stretch>
                      <a:fillRect/>
                    </a:stretch>
                  </pic:blipFill>
                  <pic:spPr>
                    <a:xfrm>
                      <a:off x="0" y="0"/>
                      <a:ext cx="5400040" cy="7074535"/>
                    </a:xfrm>
                    <a:prstGeom prst="rect">
                      <a:avLst/>
                    </a:prstGeom>
                  </pic:spPr>
                </pic:pic>
              </a:graphicData>
            </a:graphic>
          </wp:inline>
        </w:drawing>
      </w:r>
    </w:p>
    <w:p>
      <w:pPr>
        <w:ind w:firstLine="0" w:firstLineChars="0"/>
        <w:jc w:val="center"/>
      </w:pPr>
    </w:p>
    <w:p>
      <w:pPr>
        <w:ind w:firstLine="0" w:firstLineChars="0"/>
      </w:pPr>
      <w:r>
        <w:rPr>
          <w:rFonts w:hint="eastAsia"/>
        </w:rPr>
        <w:t xml:space="preserve"> </w:t>
      </w:r>
    </w:p>
    <w:p>
      <w:pPr>
        <w:pStyle w:val="2"/>
        <w:ind w:left="0" w:leftChars="0" w:firstLine="0" w:firstLineChars="0"/>
        <w:jc w:val="center"/>
      </w:pPr>
      <w:r>
        <w:rPr>
          <w:rFonts w:hint="eastAsia"/>
        </w:rPr>
        <w:t xml:space="preserve"> </w:t>
      </w:r>
    </w:p>
    <w:p>
      <w:pPr>
        <w:pStyle w:val="2"/>
        <w:ind w:left="0" w:leftChars="0" w:firstLine="0" w:firstLineChars="0"/>
        <w:jc w:val="center"/>
      </w:pPr>
    </w:p>
    <w:p>
      <w:pPr>
        <w:ind w:firstLine="0" w:firstLineChars="0"/>
        <w:rPr>
          <w:rFonts w:cs="Times New Roman" w:eastAsiaTheme="majorEastAsia"/>
          <w:b/>
          <w:sz w:val="28"/>
          <w:szCs w:val="28"/>
        </w:rPr>
      </w:pPr>
      <w:r>
        <w:rPr>
          <w:rFonts w:hint="eastAsia" w:cs="Times New Roman" w:eastAsiaTheme="majorEastAsia"/>
          <w:b/>
          <w:sz w:val="28"/>
          <w:szCs w:val="28"/>
        </w:rPr>
        <w:t xml:space="preserve"> </w:t>
      </w:r>
      <w:bookmarkStart w:id="152" w:name="_Toc81808434"/>
      <w:bookmarkStart w:id="153" w:name="_Toc81808546"/>
      <w:r>
        <w:rPr>
          <w:rFonts w:hint="eastAsia" w:cs="Times New Roman" w:eastAsiaTheme="majorEastAsia"/>
          <w:b/>
          <w:sz w:val="28"/>
          <w:szCs w:val="28"/>
        </w:rPr>
        <w:t>附件3</w:t>
      </w:r>
      <w:r>
        <w:rPr>
          <w:rFonts w:cs="Times New Roman" w:eastAsiaTheme="majorEastAsia"/>
          <w:b/>
          <w:sz w:val="28"/>
          <w:szCs w:val="28"/>
        </w:rPr>
        <w:t xml:space="preserve"> </w:t>
      </w:r>
      <w:r>
        <w:rPr>
          <w:rFonts w:hint="eastAsia" w:cs="Times New Roman" w:eastAsiaTheme="majorEastAsia"/>
          <w:b/>
          <w:sz w:val="28"/>
          <w:szCs w:val="28"/>
        </w:rPr>
        <w:t>排污许可</w:t>
      </w:r>
      <w:bookmarkEnd w:id="152"/>
      <w:bookmarkEnd w:id="153"/>
      <w:r>
        <w:rPr>
          <w:rFonts w:hint="eastAsia" w:cs="Times New Roman" w:eastAsiaTheme="majorEastAsia"/>
          <w:b/>
          <w:sz w:val="28"/>
          <w:szCs w:val="28"/>
        </w:rPr>
        <w:t>证</w:t>
      </w:r>
    </w:p>
    <w:p>
      <w:pPr>
        <w:pStyle w:val="5"/>
        <w:jc w:val="center"/>
      </w:pPr>
      <w:r>
        <w:drawing>
          <wp:inline distT="0" distB="0" distL="0" distR="0">
            <wp:extent cx="5060315" cy="7110730"/>
            <wp:effectExtent l="0" t="0" r="698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8"/>
                    <a:stretch>
                      <a:fillRect/>
                    </a:stretch>
                  </pic:blipFill>
                  <pic:spPr>
                    <a:xfrm>
                      <a:off x="0" y="0"/>
                      <a:ext cx="5066506" cy="7118803"/>
                    </a:xfrm>
                    <a:prstGeom prst="rect">
                      <a:avLst/>
                    </a:prstGeom>
                  </pic:spPr>
                </pic:pic>
              </a:graphicData>
            </a:graphic>
          </wp:inline>
        </w:drawing>
      </w:r>
    </w:p>
    <w:p>
      <w:pPr>
        <w:ind w:firstLine="480"/>
        <w:sectPr>
          <w:pgSz w:w="11906" w:h="16838"/>
          <w:pgMar w:top="1701" w:right="1418" w:bottom="1701" w:left="1418" w:header="851" w:footer="992" w:gutter="0"/>
          <w:pgNumType w:fmt="numberInDash"/>
          <w:cols w:space="0" w:num="1"/>
          <w:docGrid w:type="lines" w:linePitch="332" w:charSpace="0"/>
        </w:sectPr>
      </w:pPr>
    </w:p>
    <w:p>
      <w:pPr>
        <w:ind w:firstLine="0" w:firstLineChars="0"/>
        <w:rPr>
          <w:rFonts w:cs="Times New Roman" w:eastAsiaTheme="majorEastAsia"/>
          <w:b/>
          <w:sz w:val="28"/>
          <w:szCs w:val="28"/>
        </w:rPr>
      </w:pPr>
      <w:bookmarkStart w:id="154" w:name="_Toc81808435"/>
      <w:bookmarkStart w:id="155" w:name="_Toc81808547"/>
      <w:r>
        <w:rPr>
          <w:rFonts w:hint="eastAsia" w:cs="Times New Roman" w:eastAsiaTheme="majorEastAsia"/>
          <w:b/>
          <w:sz w:val="28"/>
          <w:szCs w:val="28"/>
        </w:rPr>
        <w:t>附件</w:t>
      </w:r>
      <w:r>
        <w:rPr>
          <w:rFonts w:cs="Times New Roman" w:eastAsiaTheme="majorEastAsia"/>
          <w:b/>
          <w:sz w:val="28"/>
          <w:szCs w:val="28"/>
        </w:rPr>
        <w:t>4</w:t>
      </w:r>
      <w:r>
        <w:rPr>
          <w:rFonts w:hint="eastAsia" w:cs="Times New Roman" w:eastAsiaTheme="majorEastAsia"/>
          <w:b/>
          <w:sz w:val="28"/>
          <w:szCs w:val="28"/>
        </w:rPr>
        <w:t xml:space="preserve"> 公司用水情况</w:t>
      </w:r>
      <w:bookmarkEnd w:id="154"/>
      <w:bookmarkEnd w:id="155"/>
    </w:p>
    <w:p>
      <w:pPr>
        <w:ind w:firstLine="600"/>
        <w:jc w:val="center"/>
        <w:rPr>
          <w:sz w:val="30"/>
          <w:szCs w:val="30"/>
        </w:rPr>
      </w:pPr>
    </w:p>
    <w:p>
      <w:pPr>
        <w:ind w:firstLine="600"/>
        <w:jc w:val="center"/>
        <w:rPr>
          <w:rFonts w:eastAsia="宋体" w:cs="Times New Roman"/>
          <w:sz w:val="30"/>
          <w:szCs w:val="30"/>
        </w:rPr>
      </w:pPr>
      <w:r>
        <w:rPr>
          <w:rFonts w:hint="eastAsia"/>
          <w:sz w:val="30"/>
          <w:szCs w:val="30"/>
        </w:rPr>
        <w:t>桐乡市诺派纺织科技有限公司</w:t>
      </w:r>
    </w:p>
    <w:p>
      <w:pPr>
        <w:ind w:firstLine="600"/>
        <w:jc w:val="center"/>
        <w:rPr>
          <w:sz w:val="30"/>
          <w:szCs w:val="30"/>
        </w:rPr>
      </w:pPr>
      <w:r>
        <w:rPr>
          <w:rFonts w:hint="eastAsia"/>
          <w:sz w:val="30"/>
          <w:szCs w:val="30"/>
        </w:rPr>
        <w:t>用水情况报表</w:t>
      </w:r>
    </w:p>
    <w:p>
      <w:pPr>
        <w:ind w:firstLine="480"/>
        <w:jc w:val="cente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7"/>
        <w:gridCol w:w="2454"/>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7"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rFonts w:hint="eastAsia"/>
                <w:b/>
                <w:bCs w:val="0"/>
                <w:color w:val="auto"/>
              </w:rPr>
              <w:t>调查时间</w:t>
            </w:r>
          </w:p>
        </w:tc>
        <w:tc>
          <w:tcPr>
            <w:tcW w:w="2454"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rFonts w:hint="eastAsia"/>
                <w:b/>
                <w:bCs w:val="0"/>
                <w:color w:val="auto"/>
              </w:rPr>
              <w:t>期间用水量（</w:t>
            </w:r>
            <w:r>
              <w:rPr>
                <w:b/>
                <w:bCs w:val="0"/>
                <w:color w:val="auto"/>
              </w:rPr>
              <w:t>t</w:t>
            </w:r>
            <w:r>
              <w:rPr>
                <w:rFonts w:hint="eastAsia"/>
                <w:b/>
                <w:bCs w:val="0"/>
                <w:color w:val="auto"/>
              </w:rPr>
              <w:t>）</w:t>
            </w:r>
          </w:p>
        </w:tc>
        <w:tc>
          <w:tcPr>
            <w:tcW w:w="2841" w:type="dxa"/>
            <w:tcBorders>
              <w:top w:val="single" w:color="auto" w:sz="4" w:space="0"/>
              <w:left w:val="single" w:color="auto" w:sz="4" w:space="0"/>
              <w:bottom w:val="single" w:color="auto" w:sz="4" w:space="0"/>
              <w:right w:val="single" w:color="auto" w:sz="4" w:space="0"/>
            </w:tcBorders>
            <w:vAlign w:val="center"/>
          </w:tcPr>
          <w:p>
            <w:pPr>
              <w:pStyle w:val="44"/>
              <w:rPr>
                <w:b/>
                <w:bCs w:val="0"/>
                <w:color w:val="auto"/>
              </w:rPr>
            </w:pPr>
            <w:r>
              <w:rPr>
                <w:rFonts w:hint="eastAsia"/>
                <w:b/>
                <w:bCs w:val="0"/>
                <w:color w:val="auto"/>
              </w:rPr>
              <w:t>期间工作天数（天）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7"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1</w:t>
            </w:r>
            <w:r>
              <w:rPr>
                <w:rFonts w:hint="eastAsia"/>
                <w:bCs w:val="0"/>
                <w:color w:val="auto"/>
              </w:rPr>
              <w:t>日</w:t>
            </w:r>
            <w:r>
              <w:rPr>
                <w:bCs w:val="0"/>
                <w:color w:val="auto"/>
              </w:rPr>
              <w:t>-9</w:t>
            </w:r>
            <w:r>
              <w:rPr>
                <w:rFonts w:hint="eastAsia"/>
                <w:bCs w:val="0"/>
                <w:color w:val="auto"/>
              </w:rPr>
              <w:t>月</w:t>
            </w:r>
            <w:r>
              <w:rPr>
                <w:bCs w:val="0"/>
                <w:color w:val="auto"/>
              </w:rPr>
              <w:t>30</w:t>
            </w:r>
            <w:r>
              <w:rPr>
                <w:rFonts w:hint="eastAsia"/>
                <w:bCs w:val="0"/>
                <w:color w:val="auto"/>
              </w:rPr>
              <w:t>日</w:t>
            </w:r>
          </w:p>
        </w:tc>
        <w:tc>
          <w:tcPr>
            <w:tcW w:w="2454"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260.5</w:t>
            </w:r>
          </w:p>
        </w:tc>
        <w:tc>
          <w:tcPr>
            <w:tcW w:w="2841"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27"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2022</w:t>
            </w:r>
            <w:r>
              <w:rPr>
                <w:rFonts w:hint="eastAsia"/>
                <w:bCs w:val="0"/>
                <w:color w:val="auto"/>
              </w:rPr>
              <w:t>年</w:t>
            </w:r>
            <w:r>
              <w:rPr>
                <w:bCs w:val="0"/>
                <w:color w:val="auto"/>
              </w:rPr>
              <w:t>10</w:t>
            </w:r>
            <w:r>
              <w:rPr>
                <w:rFonts w:hint="eastAsia"/>
                <w:bCs w:val="0"/>
                <w:color w:val="auto"/>
              </w:rPr>
              <w:t>月</w:t>
            </w:r>
            <w:r>
              <w:rPr>
                <w:bCs w:val="0"/>
                <w:color w:val="auto"/>
              </w:rPr>
              <w:t>1</w:t>
            </w:r>
            <w:r>
              <w:rPr>
                <w:rFonts w:hint="eastAsia"/>
                <w:bCs w:val="0"/>
                <w:color w:val="auto"/>
              </w:rPr>
              <w:t>日</w:t>
            </w:r>
            <w:r>
              <w:rPr>
                <w:bCs w:val="0"/>
                <w:color w:val="auto"/>
              </w:rPr>
              <w:t>-10</w:t>
            </w:r>
            <w:r>
              <w:rPr>
                <w:rFonts w:hint="eastAsia"/>
                <w:bCs w:val="0"/>
                <w:color w:val="auto"/>
              </w:rPr>
              <w:t>月</w:t>
            </w:r>
            <w:r>
              <w:rPr>
                <w:bCs w:val="0"/>
                <w:color w:val="auto"/>
              </w:rPr>
              <w:t>31</w:t>
            </w:r>
            <w:r>
              <w:rPr>
                <w:rFonts w:hint="eastAsia"/>
                <w:bCs w:val="0"/>
                <w:color w:val="auto"/>
              </w:rPr>
              <w:t>日</w:t>
            </w:r>
          </w:p>
        </w:tc>
        <w:tc>
          <w:tcPr>
            <w:tcW w:w="2454"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280.3</w:t>
            </w:r>
          </w:p>
        </w:tc>
        <w:tc>
          <w:tcPr>
            <w:tcW w:w="2841"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3227"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rFonts w:hint="eastAsia"/>
                <w:bCs w:val="0"/>
                <w:color w:val="auto"/>
              </w:rPr>
              <w:t>合计</w:t>
            </w:r>
          </w:p>
        </w:tc>
        <w:tc>
          <w:tcPr>
            <w:tcW w:w="2454"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540.8</w:t>
            </w:r>
          </w:p>
        </w:tc>
        <w:tc>
          <w:tcPr>
            <w:tcW w:w="2841" w:type="dxa"/>
            <w:tcBorders>
              <w:top w:val="single" w:color="auto" w:sz="4" w:space="0"/>
              <w:left w:val="single" w:color="auto" w:sz="4" w:space="0"/>
              <w:bottom w:val="single" w:color="auto" w:sz="4" w:space="0"/>
              <w:right w:val="single" w:color="auto" w:sz="4" w:space="0"/>
            </w:tcBorders>
            <w:vAlign w:val="center"/>
          </w:tcPr>
          <w:p>
            <w:pPr>
              <w:pStyle w:val="44"/>
              <w:rPr>
                <w:bCs w:val="0"/>
                <w:color w:val="auto"/>
              </w:rPr>
            </w:pPr>
            <w:r>
              <w:rPr>
                <w:bCs w:val="0"/>
                <w:color w:val="auto"/>
              </w:rPr>
              <w:t>48</w:t>
            </w:r>
          </w:p>
        </w:tc>
      </w:tr>
    </w:tbl>
    <w:p>
      <w:pPr>
        <w:ind w:firstLine="480"/>
        <w:jc w:val="right"/>
        <w:rPr>
          <w:rFonts w:cs="Times New Roman"/>
        </w:rPr>
      </w:pPr>
    </w:p>
    <w:p>
      <w:pPr>
        <w:ind w:firstLine="480"/>
        <w:jc w:val="right"/>
      </w:pPr>
    </w:p>
    <w:p>
      <w:pPr>
        <w:ind w:firstLine="480"/>
        <w:jc w:val="right"/>
      </w:pPr>
    </w:p>
    <w:p>
      <w:pPr>
        <w:ind w:firstLine="480"/>
        <w:jc w:val="right"/>
      </w:pPr>
      <w:r>
        <w:rPr>
          <w:rFonts w:hint="eastAsia"/>
        </w:rPr>
        <w:t>桐乡市诺派纺织科技有限公司</w:t>
      </w:r>
    </w:p>
    <w:p>
      <w:pPr>
        <w:ind w:firstLine="480"/>
        <w:jc w:val="right"/>
      </w:pPr>
      <w:r>
        <w:t>2022</w:t>
      </w:r>
      <w:r>
        <w:rPr>
          <w:rFonts w:hint="eastAsia"/>
        </w:rPr>
        <w:t>年</w:t>
      </w:r>
      <w:r>
        <w:t>11</w:t>
      </w:r>
      <w:r>
        <w:rPr>
          <w:rFonts w:hint="eastAsia"/>
        </w:rPr>
        <w:t>月</w:t>
      </w:r>
      <w:r>
        <w:t>30</w:t>
      </w:r>
      <w:r>
        <w:rPr>
          <w:rFonts w:hint="eastAsia"/>
        </w:rPr>
        <w:t>日</w:t>
      </w:r>
    </w:p>
    <w:p>
      <w:pPr>
        <w:ind w:firstLine="0" w:firstLineChars="0"/>
        <w:jc w:val="center"/>
      </w:pPr>
    </w:p>
    <w:p>
      <w:pPr>
        <w:pStyle w:val="2"/>
        <w:ind w:left="480" w:firstLine="480"/>
      </w:pPr>
    </w:p>
    <w:p>
      <w:pPr>
        <w:spacing w:after="120"/>
        <w:ind w:left="480" w:leftChars="200" w:firstLine="480"/>
        <w:jc w:val="right"/>
        <w:rPr>
          <w:rFonts w:eastAsia="宋体" w:cs="Times New Roman"/>
        </w:rPr>
      </w:pPr>
    </w:p>
    <w:p>
      <w:pPr>
        <w:pStyle w:val="2"/>
        <w:ind w:left="480" w:firstLine="480"/>
      </w:pPr>
    </w:p>
    <w:p>
      <w:pPr>
        <w:pStyle w:val="2"/>
        <w:ind w:left="0" w:leftChars="0" w:firstLine="0" w:firstLineChars="0"/>
        <w:jc w:val="center"/>
        <w:sectPr>
          <w:pgSz w:w="11906" w:h="16838"/>
          <w:pgMar w:top="1701" w:right="1418" w:bottom="1701" w:left="1418" w:header="851" w:footer="992" w:gutter="0"/>
          <w:pgNumType w:fmt="numberInDash"/>
          <w:cols w:space="0" w:num="1"/>
          <w:docGrid w:type="lines" w:linePitch="332" w:charSpace="0"/>
        </w:sectPr>
      </w:pPr>
    </w:p>
    <w:p>
      <w:pPr>
        <w:ind w:firstLine="0" w:firstLineChars="0"/>
        <w:rPr>
          <w:rFonts w:cs="Times New Roman" w:eastAsiaTheme="majorEastAsia"/>
          <w:b/>
          <w:sz w:val="28"/>
          <w:szCs w:val="28"/>
        </w:rPr>
      </w:pPr>
      <w:bookmarkStart w:id="156" w:name="_Toc81808548"/>
      <w:bookmarkStart w:id="157" w:name="_Toc81808436"/>
      <w:r>
        <w:rPr>
          <w:rFonts w:hint="eastAsia" w:cs="Times New Roman" w:eastAsiaTheme="majorEastAsia"/>
          <w:b/>
          <w:sz w:val="28"/>
          <w:szCs w:val="28"/>
        </w:rPr>
        <w:t>附件</w:t>
      </w:r>
      <w:r>
        <w:rPr>
          <w:rFonts w:cs="Times New Roman" w:eastAsiaTheme="majorEastAsia"/>
          <w:b/>
          <w:sz w:val="28"/>
          <w:szCs w:val="28"/>
        </w:rPr>
        <w:t>5</w:t>
      </w:r>
      <w:r>
        <w:rPr>
          <w:rFonts w:hint="eastAsia" w:cs="Times New Roman" w:eastAsiaTheme="majorEastAsia"/>
          <w:b/>
          <w:sz w:val="28"/>
          <w:szCs w:val="28"/>
        </w:rPr>
        <w:t xml:space="preserve"> 检测报告</w:t>
      </w:r>
      <w:bookmarkEnd w:id="156"/>
      <w:bookmarkEnd w:id="157"/>
    </w:p>
    <w:p>
      <w:pPr>
        <w:ind w:firstLine="0" w:firstLineChars="0"/>
        <w:jc w:val="center"/>
      </w:pPr>
      <w:r>
        <w:drawing>
          <wp:inline distT="0" distB="0" distL="0" distR="0">
            <wp:extent cx="3940175" cy="4860925"/>
            <wp:effectExtent l="0" t="0" r="317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9"/>
                    <a:stretch>
                      <a:fillRect/>
                    </a:stretch>
                  </pic:blipFill>
                  <pic:spPr>
                    <a:xfrm>
                      <a:off x="0" y="0"/>
                      <a:ext cx="3949406" cy="4872127"/>
                    </a:xfrm>
                    <a:prstGeom prst="rect">
                      <a:avLst/>
                    </a:prstGeom>
                  </pic:spPr>
                </pic:pic>
              </a:graphicData>
            </a:graphic>
          </wp:inline>
        </w:drawing>
      </w:r>
      <w:r>
        <w:drawing>
          <wp:inline distT="0" distB="0" distL="0" distR="0">
            <wp:extent cx="3646170" cy="4894580"/>
            <wp:effectExtent l="0" t="0" r="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0"/>
                    <a:stretch>
                      <a:fillRect/>
                    </a:stretch>
                  </pic:blipFill>
                  <pic:spPr>
                    <a:xfrm>
                      <a:off x="0" y="0"/>
                      <a:ext cx="3648719" cy="4897981"/>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4055745" cy="5400040"/>
            <wp:effectExtent l="0" t="0" r="190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1"/>
                    <a:stretch>
                      <a:fillRect/>
                    </a:stretch>
                  </pic:blipFill>
                  <pic:spPr>
                    <a:xfrm>
                      <a:off x="0" y="0"/>
                      <a:ext cx="4055745" cy="5400040"/>
                    </a:xfrm>
                    <a:prstGeom prst="rect">
                      <a:avLst/>
                    </a:prstGeom>
                  </pic:spPr>
                </pic:pic>
              </a:graphicData>
            </a:graphic>
          </wp:inline>
        </w:drawing>
      </w:r>
      <w:r>
        <w:drawing>
          <wp:inline distT="0" distB="0" distL="0" distR="0">
            <wp:extent cx="4038600" cy="54000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2"/>
                    <a:stretch>
                      <a:fillRect/>
                    </a:stretch>
                  </pic:blipFill>
                  <pic:spPr>
                    <a:xfrm>
                      <a:off x="0" y="0"/>
                      <a:ext cx="4038600" cy="5400040"/>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4034155" cy="5400040"/>
            <wp:effectExtent l="0" t="0" r="444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3"/>
                    <a:stretch>
                      <a:fillRect/>
                    </a:stretch>
                  </pic:blipFill>
                  <pic:spPr>
                    <a:xfrm>
                      <a:off x="0" y="0"/>
                      <a:ext cx="4034155" cy="5400040"/>
                    </a:xfrm>
                    <a:prstGeom prst="rect">
                      <a:avLst/>
                    </a:prstGeom>
                  </pic:spPr>
                </pic:pic>
              </a:graphicData>
            </a:graphic>
          </wp:inline>
        </w:drawing>
      </w:r>
      <w:r>
        <w:drawing>
          <wp:inline distT="0" distB="0" distL="0" distR="0">
            <wp:extent cx="4034155" cy="5400040"/>
            <wp:effectExtent l="0" t="0" r="444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4"/>
                    <a:stretch>
                      <a:fillRect/>
                    </a:stretch>
                  </pic:blipFill>
                  <pic:spPr>
                    <a:xfrm>
                      <a:off x="0" y="0"/>
                      <a:ext cx="4034155" cy="5400040"/>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4028440" cy="54000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5"/>
                    <a:stretch>
                      <a:fillRect/>
                    </a:stretch>
                  </pic:blipFill>
                  <pic:spPr>
                    <a:xfrm>
                      <a:off x="0" y="0"/>
                      <a:ext cx="4028440" cy="5400040"/>
                    </a:xfrm>
                    <a:prstGeom prst="rect">
                      <a:avLst/>
                    </a:prstGeom>
                  </pic:spPr>
                </pic:pic>
              </a:graphicData>
            </a:graphic>
          </wp:inline>
        </w:drawing>
      </w:r>
      <w:r>
        <w:drawing>
          <wp:inline distT="0" distB="0" distL="0" distR="0">
            <wp:extent cx="4021455" cy="54000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6"/>
                    <a:stretch>
                      <a:fillRect/>
                    </a:stretch>
                  </pic:blipFill>
                  <pic:spPr>
                    <a:xfrm>
                      <a:off x="0" y="0"/>
                      <a:ext cx="4021455" cy="5400040"/>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4021455" cy="54000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7"/>
                    <a:stretch>
                      <a:fillRect/>
                    </a:stretch>
                  </pic:blipFill>
                  <pic:spPr>
                    <a:xfrm>
                      <a:off x="0" y="0"/>
                      <a:ext cx="4021455" cy="5400040"/>
                    </a:xfrm>
                    <a:prstGeom prst="rect">
                      <a:avLst/>
                    </a:prstGeom>
                  </pic:spPr>
                </pic:pic>
              </a:graphicData>
            </a:graphic>
          </wp:inline>
        </w:drawing>
      </w:r>
      <w:r>
        <w:drawing>
          <wp:inline distT="0" distB="0" distL="0" distR="0">
            <wp:extent cx="4065905" cy="54000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8"/>
                    <a:stretch>
                      <a:fillRect/>
                    </a:stretch>
                  </pic:blipFill>
                  <pic:spPr>
                    <a:xfrm>
                      <a:off x="0" y="0"/>
                      <a:ext cx="4065905" cy="5400040"/>
                    </a:xfrm>
                    <a:prstGeom prst="rect">
                      <a:avLst/>
                    </a:prstGeom>
                  </pic:spPr>
                </pic:pic>
              </a:graphicData>
            </a:graphic>
          </wp:inline>
        </w:drawing>
      </w:r>
      <w:r>
        <w:rPr>
          <w:rFonts w:hint="eastAsia"/>
        </w:rPr>
        <w:t xml:space="preserve"> </w:t>
      </w:r>
    </w:p>
    <w:p>
      <w:pPr>
        <w:pStyle w:val="2"/>
        <w:ind w:left="0" w:leftChars="0" w:firstLine="0" w:firstLineChars="0"/>
        <w:jc w:val="center"/>
      </w:pPr>
      <w:r>
        <w:drawing>
          <wp:inline distT="0" distB="0" distL="0" distR="0">
            <wp:extent cx="4060190" cy="54000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9"/>
                    <a:stretch>
                      <a:fillRect/>
                    </a:stretch>
                  </pic:blipFill>
                  <pic:spPr>
                    <a:xfrm>
                      <a:off x="0" y="0"/>
                      <a:ext cx="4060190" cy="5400040"/>
                    </a:xfrm>
                    <a:prstGeom prst="rect">
                      <a:avLst/>
                    </a:prstGeom>
                  </pic:spPr>
                </pic:pic>
              </a:graphicData>
            </a:graphic>
          </wp:inline>
        </w:drawing>
      </w:r>
      <w:r>
        <w:drawing>
          <wp:inline distT="0" distB="0" distL="0" distR="0">
            <wp:extent cx="4072890" cy="5400040"/>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0"/>
                    <a:stretch>
                      <a:fillRect/>
                    </a:stretch>
                  </pic:blipFill>
                  <pic:spPr>
                    <a:xfrm>
                      <a:off x="0" y="0"/>
                      <a:ext cx="4072890" cy="5400040"/>
                    </a:xfrm>
                    <a:prstGeom prst="rect">
                      <a:avLst/>
                    </a:prstGeom>
                  </pic:spPr>
                </pic:pic>
              </a:graphicData>
            </a:graphic>
          </wp:inline>
        </w:drawing>
      </w:r>
      <w:r>
        <w:rPr>
          <w:rFonts w:hint="eastAsia"/>
        </w:rPr>
        <w:t xml:space="preserve"> </w:t>
      </w:r>
    </w:p>
    <w:p>
      <w:pPr>
        <w:pStyle w:val="2"/>
        <w:ind w:left="0" w:leftChars="0" w:firstLine="0" w:firstLineChars="0"/>
        <w:jc w:val="center"/>
        <w:sectPr>
          <w:pgSz w:w="16838" w:h="11906" w:orient="landscape"/>
          <w:pgMar w:top="1701" w:right="1418" w:bottom="1701" w:left="1418" w:header="851" w:footer="992" w:gutter="0"/>
          <w:pgNumType w:fmt="numberInDash"/>
          <w:cols w:space="0" w:num="1"/>
          <w:docGrid w:type="linesAndChars" w:linePitch="332" w:charSpace="0"/>
        </w:sectPr>
      </w:pPr>
      <w:r>
        <w:drawing>
          <wp:inline distT="0" distB="0" distL="0" distR="0">
            <wp:extent cx="4025900" cy="54000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1"/>
                    <a:stretch>
                      <a:fillRect/>
                    </a:stretch>
                  </pic:blipFill>
                  <pic:spPr>
                    <a:xfrm>
                      <a:off x="0" y="0"/>
                      <a:ext cx="4025900" cy="5400040"/>
                    </a:xfrm>
                    <a:prstGeom prst="rect">
                      <a:avLst/>
                    </a:prstGeom>
                  </pic:spPr>
                </pic:pic>
              </a:graphicData>
            </a:graphic>
          </wp:inline>
        </w:drawing>
      </w:r>
      <w:r>
        <w:drawing>
          <wp:inline distT="0" distB="0" distL="0" distR="0">
            <wp:extent cx="4023995" cy="54000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2"/>
                    <a:stretch>
                      <a:fillRect/>
                    </a:stretch>
                  </pic:blipFill>
                  <pic:spPr>
                    <a:xfrm>
                      <a:off x="0" y="0"/>
                      <a:ext cx="4023995" cy="5400040"/>
                    </a:xfrm>
                    <a:prstGeom prst="rect">
                      <a:avLst/>
                    </a:prstGeom>
                  </pic:spPr>
                </pic:pic>
              </a:graphicData>
            </a:graphic>
          </wp:inline>
        </w:drawing>
      </w:r>
      <w:r>
        <w:drawing>
          <wp:inline distT="0" distB="0" distL="0" distR="0">
            <wp:extent cx="4043045" cy="5400040"/>
            <wp:effectExtent l="0" t="0" r="14605" b="1016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3"/>
                    <a:stretch>
                      <a:fillRect/>
                    </a:stretch>
                  </pic:blipFill>
                  <pic:spPr>
                    <a:xfrm>
                      <a:off x="0" y="0"/>
                      <a:ext cx="4043045" cy="5400040"/>
                    </a:xfrm>
                    <a:prstGeom prst="rect">
                      <a:avLst/>
                    </a:prstGeom>
                  </pic:spPr>
                </pic:pic>
              </a:graphicData>
            </a:graphic>
          </wp:inline>
        </w:drawing>
      </w:r>
      <w:r>
        <w:drawing>
          <wp:inline distT="0" distB="0" distL="114300" distR="114300">
            <wp:extent cx="3733800" cy="5267325"/>
            <wp:effectExtent l="0" t="0" r="0"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54"/>
                    <a:stretch>
                      <a:fillRect/>
                    </a:stretch>
                  </pic:blipFill>
                  <pic:spPr>
                    <a:xfrm>
                      <a:off x="0" y="0"/>
                      <a:ext cx="3733800" cy="5267325"/>
                    </a:xfrm>
                    <a:prstGeom prst="rect">
                      <a:avLst/>
                    </a:prstGeom>
                    <a:noFill/>
                    <a:ln>
                      <a:noFill/>
                    </a:ln>
                  </pic:spPr>
                </pic:pic>
              </a:graphicData>
            </a:graphic>
          </wp:inline>
        </w:drawing>
      </w:r>
      <w:r>
        <w:drawing>
          <wp:inline distT="0" distB="0" distL="114300" distR="114300">
            <wp:extent cx="3705225" cy="5048250"/>
            <wp:effectExtent l="0" t="0" r="9525" b="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55"/>
                    <a:stretch>
                      <a:fillRect/>
                    </a:stretch>
                  </pic:blipFill>
                  <pic:spPr>
                    <a:xfrm>
                      <a:off x="0" y="0"/>
                      <a:ext cx="3705225" cy="5048250"/>
                    </a:xfrm>
                    <a:prstGeom prst="rect">
                      <a:avLst/>
                    </a:prstGeom>
                    <a:noFill/>
                    <a:ln>
                      <a:noFill/>
                    </a:ln>
                  </pic:spPr>
                </pic:pic>
              </a:graphicData>
            </a:graphic>
          </wp:inline>
        </w:drawing>
      </w:r>
      <w:r>
        <w:drawing>
          <wp:inline distT="0" distB="0" distL="114300" distR="114300">
            <wp:extent cx="3657600" cy="5162550"/>
            <wp:effectExtent l="0" t="0" r="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56"/>
                    <a:stretch>
                      <a:fillRect/>
                    </a:stretch>
                  </pic:blipFill>
                  <pic:spPr>
                    <a:xfrm>
                      <a:off x="0" y="0"/>
                      <a:ext cx="3657600" cy="5162550"/>
                    </a:xfrm>
                    <a:prstGeom prst="rect">
                      <a:avLst/>
                    </a:prstGeom>
                    <a:noFill/>
                    <a:ln>
                      <a:noFill/>
                    </a:ln>
                  </pic:spPr>
                </pic:pic>
              </a:graphicData>
            </a:graphic>
          </wp:inline>
        </w:drawing>
      </w:r>
      <w:r>
        <w:drawing>
          <wp:inline distT="0" distB="0" distL="114300" distR="114300">
            <wp:extent cx="3705225" cy="5000625"/>
            <wp:effectExtent l="0" t="0" r="9525" b="9525"/>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57"/>
                    <a:stretch>
                      <a:fillRect/>
                    </a:stretch>
                  </pic:blipFill>
                  <pic:spPr>
                    <a:xfrm>
                      <a:off x="0" y="0"/>
                      <a:ext cx="3705225" cy="5000625"/>
                    </a:xfrm>
                    <a:prstGeom prst="rect">
                      <a:avLst/>
                    </a:prstGeom>
                    <a:noFill/>
                    <a:ln>
                      <a:noFill/>
                    </a:ln>
                  </pic:spPr>
                </pic:pic>
              </a:graphicData>
            </a:graphic>
          </wp:inline>
        </w:drawing>
      </w:r>
      <w:r>
        <w:drawing>
          <wp:inline distT="0" distB="0" distL="114300" distR="114300">
            <wp:extent cx="3686175" cy="5086350"/>
            <wp:effectExtent l="0" t="0" r="9525" b="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8"/>
                    <a:stretch>
                      <a:fillRect/>
                    </a:stretch>
                  </pic:blipFill>
                  <pic:spPr>
                    <a:xfrm>
                      <a:off x="0" y="0"/>
                      <a:ext cx="3686175" cy="5086350"/>
                    </a:xfrm>
                    <a:prstGeom prst="rect">
                      <a:avLst/>
                    </a:prstGeom>
                    <a:noFill/>
                    <a:ln>
                      <a:noFill/>
                    </a:ln>
                  </pic:spPr>
                </pic:pic>
              </a:graphicData>
            </a:graphic>
          </wp:inline>
        </w:drawing>
      </w:r>
      <w:r>
        <w:drawing>
          <wp:inline distT="0" distB="0" distL="114300" distR="114300">
            <wp:extent cx="3695700" cy="4953000"/>
            <wp:effectExtent l="0" t="0" r="0" b="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59"/>
                    <a:stretch>
                      <a:fillRect/>
                    </a:stretch>
                  </pic:blipFill>
                  <pic:spPr>
                    <a:xfrm>
                      <a:off x="0" y="0"/>
                      <a:ext cx="3695700" cy="4953000"/>
                    </a:xfrm>
                    <a:prstGeom prst="rect">
                      <a:avLst/>
                    </a:prstGeom>
                    <a:noFill/>
                    <a:ln>
                      <a:noFill/>
                    </a:ln>
                  </pic:spPr>
                </pic:pic>
              </a:graphicData>
            </a:graphic>
          </wp:inline>
        </w:drawing>
      </w:r>
      <w:r>
        <w:drawing>
          <wp:inline distT="0" distB="0" distL="114300" distR="114300">
            <wp:extent cx="3695700" cy="5048250"/>
            <wp:effectExtent l="0" t="0" r="0" b="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60"/>
                    <a:stretch>
                      <a:fillRect/>
                    </a:stretch>
                  </pic:blipFill>
                  <pic:spPr>
                    <a:xfrm>
                      <a:off x="0" y="0"/>
                      <a:ext cx="3695700" cy="5048250"/>
                    </a:xfrm>
                    <a:prstGeom prst="rect">
                      <a:avLst/>
                    </a:prstGeom>
                    <a:noFill/>
                    <a:ln>
                      <a:noFill/>
                    </a:ln>
                  </pic:spPr>
                </pic:pic>
              </a:graphicData>
            </a:graphic>
          </wp:inline>
        </w:drawing>
      </w:r>
      <w:r>
        <w:drawing>
          <wp:inline distT="0" distB="0" distL="114300" distR="114300">
            <wp:extent cx="3695700" cy="4972050"/>
            <wp:effectExtent l="0" t="0" r="0" b="0"/>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61"/>
                    <a:stretch>
                      <a:fillRect/>
                    </a:stretch>
                  </pic:blipFill>
                  <pic:spPr>
                    <a:xfrm>
                      <a:off x="0" y="0"/>
                      <a:ext cx="3695700" cy="4972050"/>
                    </a:xfrm>
                    <a:prstGeom prst="rect">
                      <a:avLst/>
                    </a:prstGeom>
                    <a:noFill/>
                    <a:ln>
                      <a:noFill/>
                    </a:ln>
                  </pic:spPr>
                </pic:pic>
              </a:graphicData>
            </a:graphic>
          </wp:inline>
        </w:drawing>
      </w:r>
      <w:r>
        <w:drawing>
          <wp:inline distT="0" distB="0" distL="114300" distR="114300">
            <wp:extent cx="3705225" cy="5105400"/>
            <wp:effectExtent l="0" t="0" r="9525" b="0"/>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62"/>
                    <a:stretch>
                      <a:fillRect/>
                    </a:stretch>
                  </pic:blipFill>
                  <pic:spPr>
                    <a:xfrm>
                      <a:off x="0" y="0"/>
                      <a:ext cx="3705225" cy="5105400"/>
                    </a:xfrm>
                    <a:prstGeom prst="rect">
                      <a:avLst/>
                    </a:prstGeom>
                    <a:noFill/>
                    <a:ln>
                      <a:noFill/>
                    </a:ln>
                  </pic:spPr>
                </pic:pic>
              </a:graphicData>
            </a:graphic>
          </wp:inline>
        </w:drawing>
      </w:r>
    </w:p>
    <w:p>
      <w:pPr>
        <w:ind w:firstLine="0" w:firstLineChars="0"/>
        <w:rPr>
          <w:rFonts w:cs="Times New Roman" w:eastAsiaTheme="majorEastAsia"/>
          <w:b/>
          <w:sz w:val="28"/>
          <w:szCs w:val="28"/>
        </w:rPr>
      </w:pPr>
      <w:bookmarkStart w:id="158" w:name="_Toc81808437"/>
      <w:bookmarkStart w:id="159" w:name="_Toc81808549"/>
      <w:r>
        <w:rPr>
          <w:rFonts w:hint="eastAsia" w:cs="Times New Roman" w:eastAsiaTheme="majorEastAsia"/>
          <w:b/>
          <w:sz w:val="28"/>
          <w:szCs w:val="28"/>
        </w:rPr>
        <w:t>附件</w:t>
      </w:r>
      <w:r>
        <w:rPr>
          <w:rFonts w:cs="Times New Roman" w:eastAsiaTheme="majorEastAsia"/>
          <w:b/>
          <w:sz w:val="28"/>
          <w:szCs w:val="28"/>
        </w:rPr>
        <w:t xml:space="preserve">6 </w:t>
      </w:r>
      <w:r>
        <w:rPr>
          <w:rFonts w:hint="eastAsia" w:cs="Times New Roman" w:eastAsiaTheme="majorEastAsia"/>
          <w:b/>
          <w:sz w:val="28"/>
          <w:szCs w:val="28"/>
        </w:rPr>
        <w:t>公司生产日报表</w:t>
      </w:r>
      <w:bookmarkEnd w:id="158"/>
      <w:bookmarkEnd w:id="159"/>
    </w:p>
    <w:p>
      <w:pPr>
        <w:ind w:firstLine="600"/>
        <w:jc w:val="center"/>
        <w:rPr>
          <w:rFonts w:eastAsia="宋体" w:cs="Times New Roman"/>
          <w:sz w:val="30"/>
          <w:szCs w:val="30"/>
        </w:rPr>
      </w:pPr>
    </w:p>
    <w:p>
      <w:pPr>
        <w:ind w:firstLine="600"/>
        <w:jc w:val="center"/>
        <w:rPr>
          <w:sz w:val="30"/>
          <w:szCs w:val="30"/>
        </w:rPr>
      </w:pPr>
      <w:r>
        <w:rPr>
          <w:rFonts w:hint="eastAsia"/>
          <w:sz w:val="30"/>
          <w:szCs w:val="30"/>
        </w:rPr>
        <w:t>桐乡市诺派纺织科技有限公司</w:t>
      </w:r>
    </w:p>
    <w:p>
      <w:pPr>
        <w:ind w:firstLine="600"/>
        <w:jc w:val="center"/>
        <w:rPr>
          <w:sz w:val="30"/>
          <w:szCs w:val="30"/>
        </w:rPr>
      </w:pPr>
      <w:r>
        <w:rPr>
          <w:rFonts w:hint="eastAsia"/>
          <w:sz w:val="30"/>
          <w:szCs w:val="30"/>
        </w:rPr>
        <w:t>验收监测期间产品生产情况报表</w:t>
      </w:r>
    </w:p>
    <w:p>
      <w:pPr>
        <w:ind w:firstLine="600"/>
        <w:jc w:val="center"/>
        <w:rPr>
          <w:sz w:val="30"/>
          <w:szCs w:val="30"/>
        </w:rPr>
      </w:pPr>
    </w:p>
    <w:tbl>
      <w:tblPr>
        <w:tblStyle w:val="22"/>
        <w:tblW w:w="848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0"/>
        <w:gridCol w:w="567"/>
        <w:gridCol w:w="1134"/>
        <w:gridCol w:w="1134"/>
        <w:gridCol w:w="1134"/>
        <w:gridCol w:w="1985"/>
        <w:gridCol w:w="850"/>
        <w:gridCol w:w="98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67" w:type="dxa"/>
            <w:gridSpan w:val="2"/>
            <w:vAlign w:val="center"/>
          </w:tcPr>
          <w:p>
            <w:pPr>
              <w:pStyle w:val="44"/>
              <w:rPr>
                <w:b/>
                <w:bCs w:val="0"/>
                <w:color w:val="auto"/>
              </w:rPr>
            </w:pPr>
            <w:r>
              <w:rPr>
                <w:b/>
                <w:bCs w:val="0"/>
                <w:color w:val="auto"/>
              </w:rPr>
              <w:t>产品名称</w:t>
            </w:r>
          </w:p>
        </w:tc>
        <w:tc>
          <w:tcPr>
            <w:tcW w:w="1134" w:type="dxa"/>
            <w:tcBorders>
              <w:right w:val="single" w:color="auto" w:sz="4" w:space="0"/>
            </w:tcBorders>
            <w:vAlign w:val="center"/>
          </w:tcPr>
          <w:p>
            <w:pPr>
              <w:pStyle w:val="44"/>
              <w:rPr>
                <w:b/>
                <w:bCs w:val="0"/>
                <w:color w:val="auto"/>
              </w:rPr>
            </w:pPr>
            <w:r>
              <w:rPr>
                <w:b/>
                <w:bCs w:val="0"/>
                <w:color w:val="auto"/>
              </w:rPr>
              <w:t>环评</w:t>
            </w:r>
            <w:r>
              <w:rPr>
                <w:rFonts w:hint="eastAsia"/>
                <w:b/>
                <w:bCs w:val="0"/>
                <w:color w:val="auto"/>
              </w:rPr>
              <w:t>审批年产量</w:t>
            </w:r>
          </w:p>
        </w:tc>
        <w:tc>
          <w:tcPr>
            <w:tcW w:w="1134" w:type="dxa"/>
            <w:tcBorders>
              <w:right w:val="single" w:color="auto" w:sz="4" w:space="0"/>
            </w:tcBorders>
            <w:vAlign w:val="center"/>
          </w:tcPr>
          <w:p>
            <w:pPr>
              <w:pStyle w:val="44"/>
              <w:rPr>
                <w:b/>
                <w:bCs w:val="0"/>
                <w:color w:val="auto"/>
              </w:rPr>
            </w:pPr>
            <w:r>
              <w:rPr>
                <w:rFonts w:hint="eastAsia"/>
                <w:b/>
                <w:bCs w:val="0"/>
                <w:color w:val="auto"/>
              </w:rPr>
              <w:t>环评审批</w:t>
            </w:r>
            <w:r>
              <w:rPr>
                <w:b/>
                <w:bCs w:val="0"/>
                <w:color w:val="auto"/>
              </w:rPr>
              <w:t>日</w:t>
            </w:r>
            <w:r>
              <w:rPr>
                <w:rFonts w:hint="eastAsia"/>
                <w:b/>
                <w:bCs w:val="0"/>
                <w:color w:val="auto"/>
              </w:rPr>
              <w:t>产量</w:t>
            </w:r>
          </w:p>
        </w:tc>
        <w:tc>
          <w:tcPr>
            <w:tcW w:w="1134" w:type="dxa"/>
            <w:tcBorders>
              <w:left w:val="single" w:color="auto" w:sz="4" w:space="0"/>
            </w:tcBorders>
            <w:vAlign w:val="center"/>
          </w:tcPr>
          <w:p>
            <w:pPr>
              <w:pStyle w:val="44"/>
              <w:rPr>
                <w:b/>
                <w:bCs w:val="0"/>
                <w:color w:val="auto"/>
              </w:rPr>
            </w:pPr>
            <w:r>
              <w:rPr>
                <w:rFonts w:hint="eastAsia"/>
                <w:b/>
                <w:bCs w:val="0"/>
                <w:color w:val="auto"/>
              </w:rPr>
              <w:t>现阶段</w:t>
            </w:r>
          </w:p>
          <w:p>
            <w:pPr>
              <w:pStyle w:val="44"/>
              <w:rPr>
                <w:b/>
                <w:bCs w:val="0"/>
                <w:color w:val="auto"/>
              </w:rPr>
            </w:pPr>
            <w:r>
              <w:rPr>
                <w:rFonts w:hint="eastAsia"/>
                <w:b/>
                <w:bCs w:val="0"/>
                <w:color w:val="auto"/>
              </w:rPr>
              <w:t>产能</w:t>
            </w:r>
          </w:p>
        </w:tc>
        <w:tc>
          <w:tcPr>
            <w:tcW w:w="2835" w:type="dxa"/>
            <w:gridSpan w:val="2"/>
            <w:vAlign w:val="center"/>
          </w:tcPr>
          <w:p>
            <w:pPr>
              <w:pStyle w:val="44"/>
              <w:rPr>
                <w:b/>
                <w:bCs w:val="0"/>
                <w:color w:val="auto"/>
              </w:rPr>
            </w:pPr>
            <w:r>
              <w:rPr>
                <w:b/>
                <w:bCs w:val="0"/>
                <w:color w:val="auto"/>
              </w:rPr>
              <w:t>验收期间产量</w:t>
            </w:r>
            <w:r>
              <w:rPr>
                <w:rFonts w:hint="eastAsia"/>
                <w:b/>
                <w:bCs w:val="0"/>
                <w:color w:val="auto"/>
              </w:rPr>
              <w:t>（米/d）</w:t>
            </w:r>
          </w:p>
        </w:tc>
        <w:tc>
          <w:tcPr>
            <w:tcW w:w="981" w:type="dxa"/>
            <w:vAlign w:val="center"/>
          </w:tcPr>
          <w:p>
            <w:pPr>
              <w:pStyle w:val="44"/>
              <w:rPr>
                <w:b/>
                <w:bCs w:val="0"/>
                <w:color w:val="auto"/>
              </w:rPr>
            </w:pPr>
            <w:r>
              <w:rPr>
                <w:b/>
                <w:bCs w:val="0"/>
                <w:color w:val="auto"/>
              </w:rPr>
              <w:t>负荷率</w:t>
            </w:r>
            <w:r>
              <w:rPr>
                <w:rFonts w:hint="eastAsia"/>
                <w:b/>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restart"/>
            <w:vAlign w:val="center"/>
          </w:tcPr>
          <w:p>
            <w:pPr>
              <w:pStyle w:val="44"/>
              <w:rPr>
                <w:b/>
                <w:bCs w:val="0"/>
                <w:color w:val="auto"/>
              </w:rPr>
            </w:pPr>
            <w:r>
              <w:rPr>
                <w:bCs w:val="0"/>
                <w:color w:val="auto"/>
              </w:rPr>
              <w:t>功能性装饰面料</w:t>
            </w:r>
          </w:p>
        </w:tc>
        <w:tc>
          <w:tcPr>
            <w:tcW w:w="567" w:type="dxa"/>
            <w:vMerge w:val="restart"/>
            <w:vAlign w:val="center"/>
          </w:tcPr>
          <w:p>
            <w:pPr>
              <w:pStyle w:val="44"/>
              <w:rPr>
                <w:b/>
                <w:bCs w:val="0"/>
                <w:color w:val="auto"/>
              </w:rPr>
            </w:pPr>
            <w:r>
              <w:rPr>
                <w:bCs w:val="0"/>
                <w:color w:val="auto"/>
              </w:rPr>
              <w:t>复合</w:t>
            </w:r>
          </w:p>
        </w:tc>
        <w:tc>
          <w:tcPr>
            <w:tcW w:w="1134" w:type="dxa"/>
            <w:vMerge w:val="restart"/>
            <w:tcBorders>
              <w:right w:val="single" w:color="auto" w:sz="4" w:space="0"/>
            </w:tcBorders>
            <w:vAlign w:val="center"/>
          </w:tcPr>
          <w:p>
            <w:pPr>
              <w:pStyle w:val="44"/>
              <w:rPr>
                <w:b/>
                <w:bCs w:val="0"/>
                <w:color w:val="auto"/>
              </w:rPr>
            </w:pPr>
            <w:r>
              <w:rPr>
                <w:bCs w:val="0"/>
                <w:color w:val="auto"/>
              </w:rPr>
              <w:t>168</w:t>
            </w:r>
            <w:r>
              <w:rPr>
                <w:rFonts w:hint="eastAsia"/>
                <w:bCs w:val="0"/>
                <w:color w:val="auto"/>
              </w:rPr>
              <w:t>万米/a</w:t>
            </w:r>
          </w:p>
        </w:tc>
        <w:tc>
          <w:tcPr>
            <w:tcW w:w="1134" w:type="dxa"/>
            <w:vMerge w:val="restart"/>
            <w:tcBorders>
              <w:right w:val="single" w:color="auto" w:sz="4" w:space="0"/>
            </w:tcBorders>
            <w:vAlign w:val="center"/>
          </w:tcPr>
          <w:p>
            <w:pPr>
              <w:pStyle w:val="44"/>
              <w:rPr>
                <w:b/>
                <w:bCs w:val="0"/>
                <w:color w:val="auto"/>
              </w:rPr>
            </w:pPr>
            <w:r>
              <w:rPr>
                <w:bCs w:val="0"/>
                <w:color w:val="auto"/>
              </w:rPr>
              <w:t>5600</w:t>
            </w:r>
            <w:r>
              <w:rPr>
                <w:rFonts w:hint="eastAsia"/>
                <w:bCs w:val="0"/>
                <w:color w:val="auto"/>
              </w:rPr>
              <w:t>米/d</w:t>
            </w:r>
          </w:p>
        </w:tc>
        <w:tc>
          <w:tcPr>
            <w:tcW w:w="1134" w:type="dxa"/>
            <w:vMerge w:val="restart"/>
            <w:tcBorders>
              <w:left w:val="single" w:color="auto" w:sz="4" w:space="0"/>
            </w:tcBorders>
            <w:vAlign w:val="center"/>
          </w:tcPr>
          <w:p>
            <w:pPr>
              <w:pStyle w:val="44"/>
              <w:rPr>
                <w:b/>
                <w:bCs w:val="0"/>
                <w:color w:val="auto"/>
              </w:rPr>
            </w:pPr>
            <w:r>
              <w:rPr>
                <w:bCs w:val="0"/>
                <w:color w:val="auto"/>
              </w:rPr>
              <w:t>5600</w:t>
            </w:r>
            <w:r>
              <w:rPr>
                <w:rFonts w:hint="eastAsia"/>
                <w:bCs w:val="0"/>
                <w:color w:val="auto"/>
              </w:rPr>
              <w:t>米/d</w:t>
            </w:r>
          </w:p>
        </w:tc>
        <w:tc>
          <w:tcPr>
            <w:tcW w:w="1985" w:type="dxa"/>
            <w:tcBorders>
              <w:bottom w:val="single" w:color="auto" w:sz="4" w:space="0"/>
              <w:right w:val="single" w:color="auto" w:sz="4" w:space="0"/>
            </w:tcBorders>
            <w:vAlign w:val="center"/>
          </w:tcPr>
          <w:p>
            <w:pPr>
              <w:pStyle w:val="44"/>
              <w:rPr>
                <w:b/>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2</w:t>
            </w:r>
            <w:r>
              <w:rPr>
                <w:rFonts w:hint="eastAsia"/>
                <w:bCs w:val="0"/>
                <w:color w:val="auto"/>
              </w:rPr>
              <w:t>日</w:t>
            </w:r>
          </w:p>
        </w:tc>
        <w:tc>
          <w:tcPr>
            <w:tcW w:w="850" w:type="dxa"/>
            <w:tcBorders>
              <w:left w:val="single" w:color="auto" w:sz="4" w:space="0"/>
              <w:bottom w:val="single" w:color="auto" w:sz="4" w:space="0"/>
            </w:tcBorders>
            <w:vAlign w:val="center"/>
          </w:tcPr>
          <w:p>
            <w:pPr>
              <w:pStyle w:val="44"/>
              <w:rPr>
                <w:bCs w:val="0"/>
                <w:color w:val="auto"/>
              </w:rPr>
            </w:pPr>
            <w:r>
              <w:rPr>
                <w:rFonts w:hint="eastAsia"/>
                <w:bCs w:val="0"/>
                <w:color w:val="auto"/>
              </w:rPr>
              <w:t>5</w:t>
            </w:r>
            <w:r>
              <w:rPr>
                <w:bCs w:val="0"/>
                <w:color w:val="auto"/>
              </w:rPr>
              <w:t>000</w:t>
            </w:r>
          </w:p>
        </w:tc>
        <w:tc>
          <w:tcPr>
            <w:tcW w:w="981" w:type="dxa"/>
            <w:tcBorders>
              <w:bottom w:val="single" w:color="auto" w:sz="4" w:space="0"/>
            </w:tcBorders>
            <w:vAlign w:val="center"/>
          </w:tcPr>
          <w:p>
            <w:pPr>
              <w:pStyle w:val="44"/>
              <w:rPr>
                <w:b/>
                <w:bCs w:val="0"/>
                <w:color w:val="auto"/>
              </w:rPr>
            </w:pPr>
            <w:r>
              <w:rPr>
                <w:bCs w:val="0"/>
                <w:color w:val="auto"/>
              </w:rPr>
              <w:t>89.3</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3</w:t>
            </w:r>
            <w:r>
              <w:rPr>
                <w:rFonts w:hint="eastAsia"/>
                <w:bCs w:val="0"/>
                <w:color w:val="auto"/>
              </w:rPr>
              <w:t>日</w:t>
            </w:r>
          </w:p>
        </w:tc>
        <w:tc>
          <w:tcPr>
            <w:tcW w:w="850" w:type="dxa"/>
            <w:tcBorders>
              <w:left w:val="single" w:color="auto" w:sz="4" w:space="0"/>
            </w:tcBorders>
            <w:vAlign w:val="center"/>
          </w:tcPr>
          <w:p>
            <w:pPr>
              <w:pStyle w:val="44"/>
              <w:rPr>
                <w:bCs w:val="0"/>
                <w:color w:val="auto"/>
              </w:rPr>
            </w:pPr>
            <w:r>
              <w:rPr>
                <w:rFonts w:hint="eastAsia"/>
                <w:bCs w:val="0"/>
                <w:color w:val="auto"/>
              </w:rPr>
              <w:t>4</w:t>
            </w:r>
            <w:r>
              <w:rPr>
                <w:bCs w:val="0"/>
                <w:color w:val="auto"/>
              </w:rPr>
              <w:t>800</w:t>
            </w:r>
          </w:p>
        </w:tc>
        <w:tc>
          <w:tcPr>
            <w:tcW w:w="981" w:type="dxa"/>
            <w:vAlign w:val="center"/>
          </w:tcPr>
          <w:p>
            <w:pPr>
              <w:pStyle w:val="44"/>
              <w:rPr>
                <w:b/>
                <w:bCs w:val="0"/>
                <w:color w:val="auto"/>
              </w:rPr>
            </w:pPr>
            <w:r>
              <w:rPr>
                <w:bCs w:val="0"/>
                <w:color w:val="auto"/>
              </w:rPr>
              <w:t>85.7</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auto"/>
              </w:rPr>
            </w:pPr>
            <w:r>
              <w:rPr>
                <w:rFonts w:hint="eastAsia"/>
                <w:bCs w:val="0"/>
                <w:color w:val="auto"/>
              </w:rPr>
              <w:t>2</w:t>
            </w:r>
            <w:r>
              <w:rPr>
                <w:bCs w:val="0"/>
                <w:color w:val="auto"/>
              </w:rPr>
              <w:t>022年</w:t>
            </w:r>
            <w:r>
              <w:rPr>
                <w:rFonts w:hint="eastAsia"/>
                <w:bCs w:val="0"/>
                <w:color w:val="auto"/>
              </w:rPr>
              <w:t>1</w:t>
            </w:r>
            <w:r>
              <w:rPr>
                <w:bCs w:val="0"/>
                <w:color w:val="auto"/>
              </w:rPr>
              <w:t>1月</w:t>
            </w:r>
            <w:r>
              <w:rPr>
                <w:rFonts w:hint="eastAsia"/>
                <w:bCs w:val="0"/>
                <w:color w:val="auto"/>
              </w:rPr>
              <w:t>3</w:t>
            </w:r>
            <w:r>
              <w:rPr>
                <w:bCs w:val="0"/>
                <w:color w:val="auto"/>
              </w:rPr>
              <w:t>0日</w:t>
            </w:r>
          </w:p>
        </w:tc>
        <w:tc>
          <w:tcPr>
            <w:tcW w:w="850" w:type="dxa"/>
            <w:tcBorders>
              <w:left w:val="single" w:color="auto" w:sz="4" w:space="0"/>
            </w:tcBorders>
            <w:vAlign w:val="center"/>
          </w:tcPr>
          <w:p>
            <w:pPr>
              <w:pStyle w:val="44"/>
              <w:rPr>
                <w:bCs w:val="0"/>
                <w:color w:val="auto"/>
              </w:rPr>
            </w:pPr>
            <w:r>
              <w:rPr>
                <w:rFonts w:hint="eastAsia"/>
                <w:bCs w:val="0"/>
                <w:color w:val="auto"/>
              </w:rPr>
              <w:t>5</w:t>
            </w:r>
            <w:r>
              <w:rPr>
                <w:bCs w:val="0"/>
                <w:color w:val="auto"/>
              </w:rPr>
              <w:t>100</w:t>
            </w:r>
          </w:p>
        </w:tc>
        <w:tc>
          <w:tcPr>
            <w:tcW w:w="981" w:type="dxa"/>
            <w:vAlign w:val="center"/>
          </w:tcPr>
          <w:p>
            <w:pPr>
              <w:pStyle w:val="44"/>
              <w:rPr>
                <w:bCs w:val="0"/>
                <w:color w:val="auto"/>
              </w:rPr>
            </w:pPr>
            <w:r>
              <w:rPr>
                <w:rFonts w:hint="eastAsia"/>
                <w:bCs w:val="0"/>
                <w:color w:val="auto"/>
              </w:rPr>
              <w:t>9</w:t>
            </w:r>
            <w:r>
              <w:rPr>
                <w:bCs w:val="0"/>
                <w:color w:val="auto"/>
              </w:rPr>
              <w:t>1.1</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auto"/>
              </w:rPr>
            </w:pPr>
            <w:r>
              <w:rPr>
                <w:rFonts w:hint="eastAsia"/>
                <w:bCs w:val="0"/>
                <w:color w:val="auto"/>
              </w:rPr>
              <w:t>2</w:t>
            </w:r>
            <w:r>
              <w:rPr>
                <w:bCs w:val="0"/>
                <w:color w:val="auto"/>
              </w:rPr>
              <w:t>022年</w:t>
            </w:r>
            <w:r>
              <w:rPr>
                <w:rFonts w:hint="eastAsia"/>
                <w:bCs w:val="0"/>
                <w:color w:val="auto"/>
              </w:rPr>
              <w:t>1</w:t>
            </w:r>
            <w:r>
              <w:rPr>
                <w:bCs w:val="0"/>
                <w:color w:val="auto"/>
              </w:rPr>
              <w:t>2月</w:t>
            </w:r>
            <w:r>
              <w:rPr>
                <w:rFonts w:hint="eastAsia"/>
                <w:bCs w:val="0"/>
                <w:color w:val="auto"/>
              </w:rPr>
              <w:t>1日</w:t>
            </w:r>
          </w:p>
        </w:tc>
        <w:tc>
          <w:tcPr>
            <w:tcW w:w="850" w:type="dxa"/>
            <w:tcBorders>
              <w:left w:val="single" w:color="auto" w:sz="4" w:space="0"/>
            </w:tcBorders>
            <w:vAlign w:val="center"/>
          </w:tcPr>
          <w:p>
            <w:pPr>
              <w:pStyle w:val="44"/>
              <w:rPr>
                <w:bCs w:val="0"/>
                <w:color w:val="auto"/>
              </w:rPr>
            </w:pPr>
            <w:r>
              <w:rPr>
                <w:rFonts w:hint="eastAsia"/>
                <w:bCs w:val="0"/>
                <w:color w:val="auto"/>
              </w:rPr>
              <w:t>5</w:t>
            </w:r>
            <w:r>
              <w:rPr>
                <w:bCs w:val="0"/>
                <w:color w:val="auto"/>
              </w:rPr>
              <w:t>150</w:t>
            </w:r>
          </w:p>
        </w:tc>
        <w:tc>
          <w:tcPr>
            <w:tcW w:w="981" w:type="dxa"/>
            <w:vAlign w:val="center"/>
          </w:tcPr>
          <w:p>
            <w:pPr>
              <w:pStyle w:val="44"/>
              <w:rPr>
                <w:bCs w:val="0"/>
                <w:color w:val="auto"/>
              </w:rPr>
            </w:pPr>
            <w:r>
              <w:rPr>
                <w:rFonts w:hint="eastAsia"/>
                <w:bCs w:val="0"/>
                <w:color w:val="auto"/>
              </w:rPr>
              <w:t>9</w:t>
            </w:r>
            <w:r>
              <w:rPr>
                <w:bCs w:val="0"/>
                <w:color w:val="auto"/>
              </w:rPr>
              <w:t>2.0</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restart"/>
            <w:vAlign w:val="center"/>
          </w:tcPr>
          <w:p>
            <w:pPr>
              <w:pStyle w:val="44"/>
              <w:rPr>
                <w:b/>
                <w:bCs w:val="0"/>
                <w:color w:val="auto"/>
              </w:rPr>
            </w:pPr>
            <w:r>
              <w:rPr>
                <w:bCs w:val="0"/>
                <w:color w:val="auto"/>
              </w:rPr>
              <w:t>涂层</w:t>
            </w:r>
          </w:p>
        </w:tc>
        <w:tc>
          <w:tcPr>
            <w:tcW w:w="1134" w:type="dxa"/>
            <w:vMerge w:val="restart"/>
            <w:tcBorders>
              <w:right w:val="single" w:color="auto" w:sz="4" w:space="0"/>
            </w:tcBorders>
            <w:vAlign w:val="center"/>
          </w:tcPr>
          <w:p>
            <w:pPr>
              <w:pStyle w:val="44"/>
              <w:rPr>
                <w:bCs w:val="0"/>
                <w:color w:val="auto"/>
              </w:rPr>
            </w:pPr>
            <w:r>
              <w:rPr>
                <w:rFonts w:hint="eastAsia"/>
                <w:bCs w:val="0"/>
                <w:color w:val="auto"/>
              </w:rPr>
              <w:t>3</w:t>
            </w:r>
            <w:r>
              <w:rPr>
                <w:bCs w:val="0"/>
                <w:color w:val="auto"/>
              </w:rPr>
              <w:t>32</w:t>
            </w:r>
            <w:r>
              <w:rPr>
                <w:rFonts w:hint="eastAsia"/>
                <w:bCs w:val="0"/>
                <w:color w:val="auto"/>
              </w:rPr>
              <w:t>万米/a</w:t>
            </w:r>
          </w:p>
        </w:tc>
        <w:tc>
          <w:tcPr>
            <w:tcW w:w="1134" w:type="dxa"/>
            <w:vMerge w:val="restart"/>
            <w:tcBorders>
              <w:right w:val="single" w:color="auto" w:sz="4" w:space="0"/>
            </w:tcBorders>
            <w:vAlign w:val="center"/>
          </w:tcPr>
          <w:p>
            <w:pPr>
              <w:pStyle w:val="44"/>
              <w:rPr>
                <w:bCs w:val="0"/>
                <w:color w:val="auto"/>
              </w:rPr>
            </w:pPr>
            <w:r>
              <w:rPr>
                <w:rFonts w:hint="eastAsia"/>
                <w:bCs w:val="0"/>
                <w:color w:val="auto"/>
              </w:rPr>
              <w:t>1</w:t>
            </w:r>
            <w:r>
              <w:rPr>
                <w:bCs w:val="0"/>
                <w:color w:val="auto"/>
              </w:rPr>
              <w:t>1067</w:t>
            </w:r>
            <w:r>
              <w:rPr>
                <w:rFonts w:hint="eastAsia"/>
                <w:bCs w:val="0"/>
                <w:color w:val="auto"/>
              </w:rPr>
              <w:t>米/d</w:t>
            </w:r>
          </w:p>
        </w:tc>
        <w:tc>
          <w:tcPr>
            <w:tcW w:w="1134" w:type="dxa"/>
            <w:vMerge w:val="restart"/>
            <w:tcBorders>
              <w:left w:val="single" w:color="auto" w:sz="4" w:space="0"/>
            </w:tcBorders>
            <w:vAlign w:val="center"/>
          </w:tcPr>
          <w:p>
            <w:pPr>
              <w:pStyle w:val="44"/>
              <w:rPr>
                <w:bCs w:val="0"/>
                <w:color w:val="auto"/>
              </w:rPr>
            </w:pPr>
            <w:r>
              <w:rPr>
                <w:rFonts w:hint="eastAsia"/>
                <w:bCs w:val="0"/>
                <w:color w:val="auto"/>
              </w:rPr>
              <w:t>1</w:t>
            </w:r>
            <w:r>
              <w:rPr>
                <w:bCs w:val="0"/>
                <w:color w:val="auto"/>
              </w:rPr>
              <w:t>1067</w:t>
            </w:r>
            <w:r>
              <w:rPr>
                <w:rFonts w:hint="eastAsia"/>
                <w:bCs w:val="0"/>
                <w:color w:val="auto"/>
              </w:rPr>
              <w:t>米/d</w:t>
            </w:r>
          </w:p>
        </w:tc>
        <w:tc>
          <w:tcPr>
            <w:tcW w:w="1985" w:type="dxa"/>
            <w:tcBorders>
              <w:right w:val="single" w:color="auto" w:sz="4" w:space="0"/>
            </w:tcBorders>
            <w:vAlign w:val="center"/>
          </w:tcPr>
          <w:p>
            <w:pPr>
              <w:pStyle w:val="44"/>
              <w:rPr>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2</w:t>
            </w:r>
            <w:r>
              <w:rPr>
                <w:rFonts w:hint="eastAsia"/>
                <w:bCs w:val="0"/>
                <w:color w:val="auto"/>
              </w:rPr>
              <w:t>日</w:t>
            </w:r>
          </w:p>
        </w:tc>
        <w:tc>
          <w:tcPr>
            <w:tcW w:w="850" w:type="dxa"/>
            <w:tcBorders>
              <w:left w:val="single" w:color="auto" w:sz="4" w:space="0"/>
            </w:tcBorders>
            <w:vAlign w:val="center"/>
          </w:tcPr>
          <w:p>
            <w:pPr>
              <w:pStyle w:val="44"/>
              <w:rPr>
                <w:bCs w:val="0"/>
                <w:color w:val="auto"/>
              </w:rPr>
            </w:pPr>
            <w:r>
              <w:rPr>
                <w:bCs w:val="0"/>
                <w:color w:val="auto"/>
              </w:rPr>
              <w:t>9500</w:t>
            </w:r>
          </w:p>
        </w:tc>
        <w:tc>
          <w:tcPr>
            <w:tcW w:w="981" w:type="dxa"/>
            <w:vAlign w:val="center"/>
          </w:tcPr>
          <w:p>
            <w:pPr>
              <w:pStyle w:val="44"/>
              <w:rPr>
                <w:bCs w:val="0"/>
                <w:color w:val="auto"/>
              </w:rPr>
            </w:pPr>
            <w:r>
              <w:rPr>
                <w:rFonts w:hint="eastAsia"/>
                <w:bCs w:val="0"/>
                <w:color w:val="auto"/>
              </w:rPr>
              <w:t>8</w:t>
            </w:r>
            <w:r>
              <w:rPr>
                <w:bCs w:val="0"/>
                <w:color w:val="auto"/>
              </w:rPr>
              <w:t>5.7</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auto"/>
              </w:rPr>
            </w:pPr>
            <w:r>
              <w:rPr>
                <w:bCs w:val="0"/>
                <w:color w:val="auto"/>
              </w:rPr>
              <w:t>2022</w:t>
            </w:r>
            <w:r>
              <w:rPr>
                <w:rFonts w:hint="eastAsia"/>
                <w:bCs w:val="0"/>
                <w:color w:val="auto"/>
              </w:rPr>
              <w:t>年</w:t>
            </w:r>
            <w:r>
              <w:rPr>
                <w:bCs w:val="0"/>
                <w:color w:val="auto"/>
              </w:rPr>
              <w:t>9</w:t>
            </w:r>
            <w:r>
              <w:rPr>
                <w:rFonts w:hint="eastAsia"/>
                <w:bCs w:val="0"/>
                <w:color w:val="auto"/>
              </w:rPr>
              <w:t>月</w:t>
            </w:r>
            <w:r>
              <w:rPr>
                <w:bCs w:val="0"/>
                <w:color w:val="auto"/>
              </w:rPr>
              <w:t>3</w:t>
            </w:r>
            <w:r>
              <w:rPr>
                <w:rFonts w:hint="eastAsia"/>
                <w:bCs w:val="0"/>
                <w:color w:val="auto"/>
              </w:rPr>
              <w:t>日</w:t>
            </w:r>
          </w:p>
        </w:tc>
        <w:tc>
          <w:tcPr>
            <w:tcW w:w="850" w:type="dxa"/>
            <w:tcBorders>
              <w:left w:val="single" w:color="auto" w:sz="4" w:space="0"/>
            </w:tcBorders>
            <w:vAlign w:val="center"/>
          </w:tcPr>
          <w:p>
            <w:pPr>
              <w:pStyle w:val="44"/>
              <w:rPr>
                <w:bCs w:val="0"/>
                <w:color w:val="auto"/>
              </w:rPr>
            </w:pPr>
            <w:r>
              <w:rPr>
                <w:bCs w:val="0"/>
                <w:color w:val="auto"/>
              </w:rPr>
              <w:t>9800</w:t>
            </w:r>
          </w:p>
        </w:tc>
        <w:tc>
          <w:tcPr>
            <w:tcW w:w="981" w:type="dxa"/>
            <w:vAlign w:val="center"/>
          </w:tcPr>
          <w:p>
            <w:pPr>
              <w:pStyle w:val="44"/>
              <w:rPr>
                <w:bCs w:val="0"/>
                <w:color w:val="auto"/>
              </w:rPr>
            </w:pPr>
            <w:r>
              <w:rPr>
                <w:bCs w:val="0"/>
                <w:color w:val="auto"/>
              </w:rPr>
              <w:t>88.6</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auto"/>
              </w:rPr>
            </w:pPr>
            <w:r>
              <w:rPr>
                <w:rFonts w:hint="eastAsia"/>
                <w:bCs w:val="0"/>
                <w:color w:val="auto"/>
              </w:rPr>
              <w:t>2</w:t>
            </w:r>
            <w:r>
              <w:rPr>
                <w:bCs w:val="0"/>
                <w:color w:val="auto"/>
              </w:rPr>
              <w:t>022年</w:t>
            </w:r>
            <w:r>
              <w:rPr>
                <w:rFonts w:hint="eastAsia"/>
                <w:bCs w:val="0"/>
                <w:color w:val="auto"/>
              </w:rPr>
              <w:t>1</w:t>
            </w:r>
            <w:r>
              <w:rPr>
                <w:bCs w:val="0"/>
                <w:color w:val="auto"/>
              </w:rPr>
              <w:t>1月</w:t>
            </w:r>
            <w:r>
              <w:rPr>
                <w:rFonts w:hint="eastAsia"/>
                <w:bCs w:val="0"/>
                <w:color w:val="auto"/>
              </w:rPr>
              <w:t>3</w:t>
            </w:r>
            <w:r>
              <w:rPr>
                <w:bCs w:val="0"/>
                <w:color w:val="auto"/>
              </w:rPr>
              <w:t>0日</w:t>
            </w:r>
          </w:p>
        </w:tc>
        <w:tc>
          <w:tcPr>
            <w:tcW w:w="850" w:type="dxa"/>
            <w:tcBorders>
              <w:left w:val="single" w:color="auto" w:sz="4" w:space="0"/>
            </w:tcBorders>
            <w:vAlign w:val="center"/>
          </w:tcPr>
          <w:p>
            <w:pPr>
              <w:pStyle w:val="44"/>
              <w:rPr>
                <w:bCs w:val="0"/>
                <w:color w:val="auto"/>
              </w:rPr>
            </w:pPr>
            <w:r>
              <w:rPr>
                <w:rFonts w:hint="eastAsia"/>
                <w:bCs w:val="0"/>
                <w:color w:val="auto"/>
              </w:rPr>
              <w:t>9</w:t>
            </w:r>
            <w:r>
              <w:rPr>
                <w:bCs w:val="0"/>
                <w:color w:val="auto"/>
              </w:rPr>
              <w:t>600</w:t>
            </w:r>
          </w:p>
        </w:tc>
        <w:tc>
          <w:tcPr>
            <w:tcW w:w="981" w:type="dxa"/>
            <w:vAlign w:val="center"/>
          </w:tcPr>
          <w:p>
            <w:pPr>
              <w:pStyle w:val="44"/>
              <w:rPr>
                <w:bCs w:val="0"/>
                <w:color w:val="auto"/>
              </w:rPr>
            </w:pPr>
            <w:r>
              <w:rPr>
                <w:rFonts w:hint="eastAsia"/>
                <w:bCs w:val="0"/>
                <w:color w:val="auto"/>
              </w:rPr>
              <w:t>8</w:t>
            </w:r>
            <w:r>
              <w:rPr>
                <w:bCs w:val="0"/>
                <w:color w:val="auto"/>
              </w:rPr>
              <w:t>6.7</w:t>
            </w:r>
            <w:r>
              <w:rPr>
                <w:rFonts w:hint="eastAsia"/>
                <w:bCs w:val="0"/>
                <w:color w:val="auto"/>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00" w:type="dxa"/>
            <w:vMerge w:val="continue"/>
            <w:vAlign w:val="center"/>
          </w:tcPr>
          <w:p>
            <w:pPr>
              <w:pStyle w:val="44"/>
              <w:rPr>
                <w:b/>
                <w:bCs w:val="0"/>
                <w:color w:val="auto"/>
              </w:rPr>
            </w:pPr>
          </w:p>
        </w:tc>
        <w:tc>
          <w:tcPr>
            <w:tcW w:w="567" w:type="dxa"/>
            <w:vMerge w:val="continue"/>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right w:val="single" w:color="auto" w:sz="4" w:space="0"/>
            </w:tcBorders>
            <w:vAlign w:val="center"/>
          </w:tcPr>
          <w:p>
            <w:pPr>
              <w:pStyle w:val="44"/>
              <w:rPr>
                <w:b/>
                <w:bCs w:val="0"/>
                <w:color w:val="auto"/>
              </w:rPr>
            </w:pPr>
          </w:p>
        </w:tc>
        <w:tc>
          <w:tcPr>
            <w:tcW w:w="1134" w:type="dxa"/>
            <w:vMerge w:val="continue"/>
            <w:tcBorders>
              <w:left w:val="single" w:color="auto" w:sz="4" w:space="0"/>
            </w:tcBorders>
            <w:vAlign w:val="center"/>
          </w:tcPr>
          <w:p>
            <w:pPr>
              <w:pStyle w:val="44"/>
              <w:rPr>
                <w:b/>
                <w:bCs w:val="0"/>
                <w:color w:val="auto"/>
              </w:rPr>
            </w:pPr>
          </w:p>
        </w:tc>
        <w:tc>
          <w:tcPr>
            <w:tcW w:w="1985" w:type="dxa"/>
            <w:tcBorders>
              <w:right w:val="single" w:color="auto" w:sz="4" w:space="0"/>
            </w:tcBorders>
            <w:vAlign w:val="center"/>
          </w:tcPr>
          <w:p>
            <w:pPr>
              <w:pStyle w:val="44"/>
              <w:rPr>
                <w:bCs w:val="0"/>
                <w:color w:val="auto"/>
              </w:rPr>
            </w:pPr>
            <w:r>
              <w:rPr>
                <w:rFonts w:hint="eastAsia"/>
                <w:bCs w:val="0"/>
                <w:color w:val="auto"/>
              </w:rPr>
              <w:t>2</w:t>
            </w:r>
            <w:r>
              <w:rPr>
                <w:bCs w:val="0"/>
                <w:color w:val="auto"/>
              </w:rPr>
              <w:t>022年</w:t>
            </w:r>
            <w:r>
              <w:rPr>
                <w:rFonts w:hint="eastAsia"/>
                <w:bCs w:val="0"/>
                <w:color w:val="auto"/>
              </w:rPr>
              <w:t>1</w:t>
            </w:r>
            <w:r>
              <w:rPr>
                <w:bCs w:val="0"/>
                <w:color w:val="auto"/>
              </w:rPr>
              <w:t>2月</w:t>
            </w:r>
            <w:r>
              <w:rPr>
                <w:rFonts w:hint="eastAsia"/>
                <w:bCs w:val="0"/>
                <w:color w:val="auto"/>
              </w:rPr>
              <w:t>1日</w:t>
            </w:r>
          </w:p>
        </w:tc>
        <w:tc>
          <w:tcPr>
            <w:tcW w:w="850" w:type="dxa"/>
            <w:tcBorders>
              <w:left w:val="single" w:color="auto" w:sz="4" w:space="0"/>
            </w:tcBorders>
            <w:vAlign w:val="center"/>
          </w:tcPr>
          <w:p>
            <w:pPr>
              <w:pStyle w:val="44"/>
              <w:rPr>
                <w:bCs w:val="0"/>
                <w:color w:val="auto"/>
              </w:rPr>
            </w:pPr>
            <w:r>
              <w:rPr>
                <w:rFonts w:hint="eastAsia"/>
                <w:bCs w:val="0"/>
                <w:color w:val="auto"/>
              </w:rPr>
              <w:t>9</w:t>
            </w:r>
            <w:r>
              <w:rPr>
                <w:bCs w:val="0"/>
                <w:color w:val="auto"/>
              </w:rPr>
              <w:t>800</w:t>
            </w:r>
          </w:p>
        </w:tc>
        <w:tc>
          <w:tcPr>
            <w:tcW w:w="981" w:type="dxa"/>
            <w:vAlign w:val="center"/>
          </w:tcPr>
          <w:p>
            <w:pPr>
              <w:pStyle w:val="44"/>
              <w:rPr>
                <w:bCs w:val="0"/>
                <w:color w:val="auto"/>
              </w:rPr>
            </w:pPr>
            <w:r>
              <w:rPr>
                <w:rFonts w:hint="eastAsia"/>
                <w:bCs w:val="0"/>
                <w:color w:val="auto"/>
              </w:rPr>
              <w:t>8</w:t>
            </w:r>
            <w:r>
              <w:rPr>
                <w:bCs w:val="0"/>
                <w:color w:val="auto"/>
              </w:rPr>
              <w:t>8.6</w:t>
            </w:r>
            <w:r>
              <w:rPr>
                <w:rFonts w:hint="eastAsia"/>
                <w:bCs w:val="0"/>
                <w:color w:val="auto"/>
              </w:rPr>
              <w:t>%</w:t>
            </w:r>
          </w:p>
        </w:tc>
      </w:tr>
    </w:tbl>
    <w:p>
      <w:pPr>
        <w:ind w:firstLine="600"/>
        <w:jc w:val="center"/>
        <w:rPr>
          <w:rFonts w:ascii="Calibri" w:hAnsi="Calibri" w:cs="Times New Roman"/>
          <w:sz w:val="30"/>
          <w:szCs w:val="30"/>
        </w:rPr>
      </w:pPr>
    </w:p>
    <w:p>
      <w:pPr>
        <w:ind w:firstLine="600"/>
        <w:jc w:val="center"/>
        <w:rPr>
          <w:sz w:val="30"/>
          <w:szCs w:val="30"/>
        </w:rPr>
      </w:pPr>
    </w:p>
    <w:p>
      <w:pPr>
        <w:ind w:firstLine="600"/>
        <w:jc w:val="center"/>
        <w:rPr>
          <w:sz w:val="30"/>
          <w:szCs w:val="30"/>
        </w:rPr>
      </w:pPr>
    </w:p>
    <w:p>
      <w:pPr>
        <w:ind w:firstLine="480"/>
        <w:jc w:val="right"/>
      </w:pPr>
      <w:r>
        <w:rPr>
          <w:rFonts w:hint="eastAsia"/>
        </w:rPr>
        <w:t>桐乡市诺派纺织科技有限公司</w:t>
      </w:r>
    </w:p>
    <w:p>
      <w:pPr>
        <w:ind w:firstLine="480"/>
        <w:jc w:val="right"/>
      </w:pPr>
      <w:r>
        <w:t>2022</w:t>
      </w:r>
      <w:r>
        <w:rPr>
          <w:rFonts w:hint="eastAsia"/>
        </w:rPr>
        <w:t>年</w:t>
      </w:r>
      <w:r>
        <w:t>11</w:t>
      </w:r>
      <w:r>
        <w:rPr>
          <w:rFonts w:hint="eastAsia"/>
        </w:rPr>
        <w:t>月</w:t>
      </w:r>
      <w:r>
        <w:t>30</w:t>
      </w:r>
      <w:r>
        <w:rPr>
          <w:rFonts w:hint="eastAsia"/>
        </w:rPr>
        <w:t>日</w:t>
      </w:r>
    </w:p>
    <w:p>
      <w:pPr>
        <w:widowControl/>
        <w:ind w:firstLine="480"/>
        <w:jc w:val="left"/>
        <w:sectPr>
          <w:pgSz w:w="11906" w:h="16838"/>
          <w:pgMar w:top="1440" w:right="1800" w:bottom="1440" w:left="1800" w:header="851" w:footer="992" w:gutter="0"/>
          <w:cols w:space="720" w:num="1"/>
          <w:docGrid w:type="lines" w:linePitch="312" w:charSpace="0"/>
        </w:sectPr>
      </w:pPr>
    </w:p>
    <w:p>
      <w:pPr>
        <w:ind w:firstLine="0" w:firstLineChars="0"/>
        <w:rPr>
          <w:rFonts w:cs="Times New Roman" w:eastAsiaTheme="majorEastAsia"/>
          <w:b/>
          <w:sz w:val="28"/>
          <w:szCs w:val="28"/>
        </w:rPr>
      </w:pPr>
      <w:bookmarkStart w:id="160" w:name="_Toc81808438"/>
      <w:bookmarkStart w:id="161" w:name="_Toc81808550"/>
      <w:r>
        <w:rPr>
          <w:rFonts w:hint="eastAsia" w:cs="Times New Roman" w:eastAsiaTheme="majorEastAsia"/>
          <w:b/>
          <w:sz w:val="28"/>
          <w:szCs w:val="28"/>
        </w:rPr>
        <w:t>附件</w:t>
      </w:r>
      <w:r>
        <w:rPr>
          <w:rFonts w:cs="Times New Roman" w:eastAsiaTheme="majorEastAsia"/>
          <w:b/>
          <w:sz w:val="28"/>
          <w:szCs w:val="28"/>
        </w:rPr>
        <w:t xml:space="preserve">7 </w:t>
      </w:r>
      <w:r>
        <w:rPr>
          <w:rFonts w:hint="eastAsia" w:cs="Times New Roman" w:eastAsiaTheme="majorEastAsia"/>
          <w:b/>
          <w:sz w:val="28"/>
          <w:szCs w:val="28"/>
        </w:rPr>
        <w:t>公司生产设备一览表</w:t>
      </w:r>
      <w:bookmarkEnd w:id="160"/>
      <w:bookmarkEnd w:id="161"/>
    </w:p>
    <w:p>
      <w:pPr>
        <w:ind w:firstLine="600"/>
        <w:jc w:val="center"/>
        <w:rPr>
          <w:rFonts w:eastAsia="宋体" w:cs="Times New Roman"/>
          <w:sz w:val="30"/>
          <w:szCs w:val="30"/>
        </w:rPr>
      </w:pPr>
      <w:r>
        <w:rPr>
          <w:rFonts w:hint="eastAsia"/>
          <w:sz w:val="30"/>
          <w:szCs w:val="30"/>
        </w:rPr>
        <w:t>桐乡市诺派纺织科技有限公司</w:t>
      </w:r>
    </w:p>
    <w:p>
      <w:pPr>
        <w:ind w:firstLine="600"/>
        <w:jc w:val="center"/>
        <w:rPr>
          <w:sz w:val="30"/>
          <w:szCs w:val="30"/>
        </w:rPr>
      </w:pPr>
      <w:r>
        <w:rPr>
          <w:rFonts w:hint="eastAsia"/>
          <w:sz w:val="30"/>
          <w:szCs w:val="30"/>
        </w:rPr>
        <w:t>本验收项目生产设备清单</w:t>
      </w:r>
    </w:p>
    <w:p>
      <w:pPr>
        <w:ind w:firstLine="600"/>
        <w:jc w:val="center"/>
        <w:rPr>
          <w:sz w:val="30"/>
          <w:szCs w:val="30"/>
        </w:rPr>
      </w:pP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782"/>
        <w:gridCol w:w="1592"/>
        <w:gridCol w:w="992"/>
        <w:gridCol w:w="2410"/>
        <w:gridCol w:w="2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序号</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设备名称</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单位</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本项目环评审批情况</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b/>
                <w:bCs/>
                <w:color w:val="auto"/>
              </w:rPr>
            </w:pPr>
            <w:r>
              <w:rPr>
                <w:rFonts w:hint="eastAsia"/>
                <w:b/>
                <w:bCs/>
                <w:color w:val="auto"/>
              </w:rPr>
              <w:t>目前实际数量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整经机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2</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2</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必佳乐剑杆机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8</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3</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意大利物尼泰科涂层机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2</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4</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转移印花设备</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5</w:t>
            </w:r>
          </w:p>
        </w:tc>
        <w:tc>
          <w:tcPr>
            <w:tcW w:w="459" w:type="pct"/>
            <w:vMerge w:val="restar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含</w:t>
            </w:r>
          </w:p>
        </w:tc>
        <w:tc>
          <w:tcPr>
            <w:tcW w:w="93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印刷机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6</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p>
        </w:tc>
        <w:tc>
          <w:tcPr>
            <w:tcW w:w="93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转移印花机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7</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烫金机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8</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复合机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9</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打卷机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4</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10</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压花机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2</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11</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验布机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3</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12</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空压机</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台</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13</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二级水喷淋</w:t>
            </w:r>
            <w:r>
              <w:rPr>
                <w:color w:val="auto"/>
              </w:rPr>
              <w:t>+</w:t>
            </w:r>
            <w:r>
              <w:rPr>
                <w:rFonts w:hint="eastAsia"/>
                <w:color w:val="auto"/>
              </w:rPr>
              <w:t>除湿装置</w:t>
            </w:r>
            <w:r>
              <w:rPr>
                <w:color w:val="auto"/>
              </w:rPr>
              <w:t>+</w:t>
            </w:r>
            <w:r>
              <w:rPr>
                <w:rFonts w:hint="eastAsia"/>
                <w:color w:val="auto"/>
              </w:rPr>
              <w:t>活性炭吸附装置</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套</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14</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水喷淋</w:t>
            </w:r>
            <w:r>
              <w:rPr>
                <w:color w:val="auto"/>
              </w:rPr>
              <w:t>+</w:t>
            </w:r>
            <w:r>
              <w:rPr>
                <w:rFonts w:hint="eastAsia"/>
                <w:color w:val="auto"/>
              </w:rPr>
              <w:t>除湿装置</w:t>
            </w:r>
            <w:r>
              <w:rPr>
                <w:color w:val="auto"/>
              </w:rPr>
              <w:t>+</w:t>
            </w:r>
            <w:r>
              <w:rPr>
                <w:rFonts w:hint="eastAsia"/>
                <w:color w:val="auto"/>
              </w:rPr>
              <w:t>高压静电装置</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套</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7"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15</w:t>
            </w:r>
          </w:p>
        </w:tc>
        <w:tc>
          <w:tcPr>
            <w:tcW w:w="1393" w:type="pct"/>
            <w:gridSpan w:val="2"/>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二级水喷淋</w:t>
            </w:r>
            <w:r>
              <w:rPr>
                <w:color w:val="auto"/>
              </w:rPr>
              <w:t>+</w:t>
            </w:r>
            <w:r>
              <w:rPr>
                <w:rFonts w:hint="eastAsia"/>
                <w:color w:val="auto"/>
              </w:rPr>
              <w:t>除湿装置</w:t>
            </w:r>
            <w:r>
              <w:rPr>
                <w:color w:val="auto"/>
              </w:rPr>
              <w:t>+高压静电</w:t>
            </w:r>
            <w:r>
              <w:rPr>
                <w:rFonts w:hint="eastAsia"/>
                <w:color w:val="auto"/>
              </w:rPr>
              <w:t>+光催化氧化（除臭）装置</w:t>
            </w:r>
          </w:p>
        </w:tc>
        <w:tc>
          <w:tcPr>
            <w:tcW w:w="582"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rFonts w:hint="eastAsia"/>
                <w:color w:val="auto"/>
              </w:rPr>
              <w:t>套</w:t>
            </w:r>
          </w:p>
        </w:tc>
        <w:tc>
          <w:tcPr>
            <w:tcW w:w="141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c>
          <w:tcPr>
            <w:tcW w:w="1194" w:type="pct"/>
            <w:tcBorders>
              <w:top w:val="single" w:color="auto" w:sz="4" w:space="0"/>
              <w:left w:val="single" w:color="auto" w:sz="4" w:space="0"/>
              <w:bottom w:val="single" w:color="auto" w:sz="4" w:space="0"/>
              <w:right w:val="single" w:color="auto" w:sz="4" w:space="0"/>
            </w:tcBorders>
            <w:vAlign w:val="center"/>
          </w:tcPr>
          <w:p>
            <w:pPr>
              <w:pStyle w:val="43"/>
              <w:rPr>
                <w:color w:val="auto"/>
              </w:rPr>
            </w:pPr>
            <w:r>
              <w:rPr>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Borders>
              <w:top w:val="single" w:color="auto" w:sz="4" w:space="0"/>
              <w:left w:val="single" w:color="auto" w:sz="4" w:space="0"/>
              <w:bottom w:val="single" w:color="auto" w:sz="4" w:space="0"/>
              <w:right w:val="single" w:color="auto" w:sz="4" w:space="0"/>
            </w:tcBorders>
            <w:vAlign w:val="center"/>
          </w:tcPr>
          <w:p>
            <w:pPr>
              <w:pStyle w:val="43"/>
              <w:jc w:val="both"/>
              <w:rPr>
                <w:color w:val="auto"/>
              </w:rPr>
            </w:pPr>
            <w:r>
              <w:rPr>
                <w:rFonts w:hint="eastAsia"/>
                <w:color w:val="auto"/>
              </w:rPr>
              <w:t>备注：</w:t>
            </w:r>
            <w:r>
              <w:rPr>
                <w:color w:val="auto"/>
              </w:rPr>
              <w:t>*</w:t>
            </w:r>
            <w:r>
              <w:rPr>
                <w:rFonts w:hint="eastAsia"/>
                <w:color w:val="auto"/>
              </w:rPr>
              <w:t>本项目在实施过程中对涂层废气处理工艺进行提升改造，提升后的处理工艺为</w:t>
            </w:r>
            <w:r>
              <w:rPr>
                <w:color w:val="auto"/>
              </w:rPr>
              <w:t>“</w:t>
            </w:r>
            <w:r>
              <w:rPr>
                <w:rFonts w:hint="eastAsia"/>
                <w:color w:val="auto"/>
              </w:rPr>
              <w:t>二级水喷淋</w:t>
            </w:r>
            <w:r>
              <w:rPr>
                <w:color w:val="auto"/>
              </w:rPr>
              <w:t>+</w:t>
            </w:r>
            <w:r>
              <w:rPr>
                <w:rFonts w:hint="eastAsia"/>
                <w:color w:val="auto"/>
              </w:rPr>
              <w:t>除湿装置</w:t>
            </w:r>
            <w:r>
              <w:rPr>
                <w:color w:val="auto"/>
              </w:rPr>
              <w:t>+</w:t>
            </w:r>
            <w:r>
              <w:rPr>
                <w:rFonts w:hint="eastAsia"/>
                <w:color w:val="auto"/>
              </w:rPr>
              <w:t>高压静电</w:t>
            </w:r>
            <w:r>
              <w:rPr>
                <w:color w:val="auto"/>
              </w:rPr>
              <w:t>+</w:t>
            </w:r>
            <w:r>
              <w:rPr>
                <w:rFonts w:hint="eastAsia"/>
                <w:color w:val="auto"/>
              </w:rPr>
              <w:t>光催化氧化（除臭）处理装置</w:t>
            </w:r>
            <w:r>
              <w:rPr>
                <w:color w:val="auto"/>
              </w:rPr>
              <w:t>”</w:t>
            </w:r>
            <w:r>
              <w:rPr>
                <w:rFonts w:hint="eastAsia"/>
                <w:color w:val="auto"/>
              </w:rPr>
              <w:t>。</w:t>
            </w:r>
          </w:p>
        </w:tc>
      </w:tr>
    </w:tbl>
    <w:p>
      <w:pPr>
        <w:ind w:firstLine="600"/>
        <w:jc w:val="right"/>
        <w:rPr>
          <w:rFonts w:ascii="Calibri" w:hAnsi="Calibri" w:cs="Times New Roman"/>
          <w:sz w:val="30"/>
          <w:szCs w:val="30"/>
        </w:rPr>
      </w:pPr>
    </w:p>
    <w:p>
      <w:pPr>
        <w:ind w:firstLine="480"/>
        <w:jc w:val="right"/>
      </w:pPr>
      <w:r>
        <w:rPr>
          <w:rFonts w:hint="eastAsia"/>
        </w:rPr>
        <w:t>桐乡市诺派纺织科技有限公司</w:t>
      </w:r>
    </w:p>
    <w:p>
      <w:pPr>
        <w:ind w:firstLine="480"/>
        <w:jc w:val="right"/>
      </w:pPr>
      <w:r>
        <w:t>2022</w:t>
      </w:r>
      <w:r>
        <w:rPr>
          <w:rFonts w:hint="eastAsia"/>
        </w:rPr>
        <w:t>年</w:t>
      </w:r>
      <w:r>
        <w:t>11</w:t>
      </w:r>
      <w:r>
        <w:rPr>
          <w:rFonts w:hint="eastAsia"/>
        </w:rPr>
        <w:t>月</w:t>
      </w:r>
      <w:r>
        <w:t>30</w:t>
      </w:r>
      <w:r>
        <w:rPr>
          <w:rFonts w:hint="eastAsia"/>
        </w:rPr>
        <w:t>日</w:t>
      </w:r>
    </w:p>
    <w:p>
      <w:pPr>
        <w:widowControl/>
        <w:ind w:firstLine="600"/>
        <w:jc w:val="left"/>
        <w:rPr>
          <w:sz w:val="30"/>
          <w:szCs w:val="30"/>
        </w:rPr>
        <w:sectPr>
          <w:pgSz w:w="11906" w:h="16838"/>
          <w:pgMar w:top="1440" w:right="1800" w:bottom="1440" w:left="1800" w:header="851" w:footer="992" w:gutter="0"/>
          <w:cols w:space="720" w:num="1"/>
          <w:docGrid w:type="lines" w:linePitch="312" w:charSpace="0"/>
        </w:sectPr>
      </w:pPr>
    </w:p>
    <w:p>
      <w:pPr>
        <w:ind w:firstLine="0" w:firstLineChars="0"/>
        <w:rPr>
          <w:rFonts w:cs="Times New Roman" w:eastAsiaTheme="majorEastAsia"/>
          <w:b/>
          <w:sz w:val="28"/>
          <w:szCs w:val="28"/>
        </w:rPr>
      </w:pPr>
      <w:bookmarkStart w:id="162" w:name="_Toc81808551"/>
      <w:bookmarkStart w:id="163" w:name="_Toc81808439"/>
      <w:r>
        <w:rPr>
          <w:rFonts w:hint="eastAsia" w:cs="Times New Roman" w:eastAsiaTheme="majorEastAsia"/>
          <w:b/>
          <w:sz w:val="28"/>
          <w:szCs w:val="28"/>
        </w:rPr>
        <w:t>附件</w:t>
      </w:r>
      <w:r>
        <w:rPr>
          <w:rFonts w:cs="Times New Roman" w:eastAsiaTheme="majorEastAsia"/>
          <w:b/>
          <w:sz w:val="28"/>
          <w:szCs w:val="28"/>
        </w:rPr>
        <w:t xml:space="preserve">8 </w:t>
      </w:r>
      <w:r>
        <w:rPr>
          <w:rFonts w:hint="eastAsia" w:cs="Times New Roman" w:eastAsiaTheme="majorEastAsia"/>
          <w:b/>
          <w:sz w:val="28"/>
          <w:szCs w:val="28"/>
        </w:rPr>
        <w:t>公司原辅材料消耗统计表</w:t>
      </w:r>
      <w:bookmarkEnd w:id="162"/>
      <w:bookmarkEnd w:id="163"/>
    </w:p>
    <w:p>
      <w:pPr>
        <w:ind w:firstLine="600"/>
        <w:jc w:val="center"/>
        <w:rPr>
          <w:sz w:val="30"/>
          <w:szCs w:val="30"/>
        </w:rPr>
      </w:pPr>
      <w:r>
        <w:rPr>
          <w:rFonts w:hint="eastAsia"/>
          <w:sz w:val="30"/>
          <w:szCs w:val="30"/>
        </w:rPr>
        <w:t>桐乡市诺派纺织科技有限公司</w:t>
      </w:r>
    </w:p>
    <w:p>
      <w:pPr>
        <w:ind w:firstLine="600"/>
        <w:jc w:val="center"/>
        <w:rPr>
          <w:sz w:val="30"/>
          <w:szCs w:val="30"/>
        </w:rPr>
      </w:pPr>
      <w:r>
        <w:rPr>
          <w:rFonts w:hint="eastAsia"/>
          <w:sz w:val="30"/>
          <w:szCs w:val="30"/>
        </w:rPr>
        <w:t>验收监测期间原辅材料及能源消耗情况报表</w:t>
      </w:r>
    </w:p>
    <w:p>
      <w:pPr>
        <w:pStyle w:val="2"/>
        <w:spacing w:line="240" w:lineRule="auto"/>
        <w:ind w:left="480" w:firstLine="360"/>
        <w:rPr>
          <w:sz w:val="18"/>
          <w:szCs w:val="18"/>
        </w:rPr>
      </w:pP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1829"/>
        <w:gridCol w:w="1069"/>
        <w:gridCol w:w="1650"/>
        <w:gridCol w:w="1791"/>
        <w:gridCol w:w="1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b/>
                <w:bCs/>
                <w:sz w:val="21"/>
                <w:szCs w:val="21"/>
              </w:rPr>
            </w:pPr>
            <w:r>
              <w:rPr>
                <w:rFonts w:hint="eastAsia"/>
                <w:b/>
                <w:bCs/>
                <w:sz w:val="21"/>
                <w:szCs w:val="21"/>
              </w:rPr>
              <w:t>序号</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b/>
                <w:bCs/>
                <w:sz w:val="21"/>
                <w:szCs w:val="21"/>
              </w:rPr>
            </w:pPr>
            <w:r>
              <w:rPr>
                <w:rFonts w:hint="eastAsia"/>
                <w:b/>
                <w:bCs/>
                <w:sz w:val="21"/>
                <w:szCs w:val="21"/>
              </w:rPr>
              <w:t>原辅材料名称</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b/>
                <w:bCs/>
                <w:sz w:val="21"/>
                <w:szCs w:val="21"/>
              </w:rPr>
            </w:pPr>
            <w:r>
              <w:rPr>
                <w:rFonts w:hint="eastAsia"/>
                <w:b/>
                <w:bCs/>
                <w:sz w:val="21"/>
                <w:szCs w:val="21"/>
              </w:rPr>
              <w:t>单位</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b/>
                <w:bCs/>
                <w:sz w:val="21"/>
                <w:szCs w:val="21"/>
              </w:rPr>
            </w:pPr>
            <w:r>
              <w:rPr>
                <w:rFonts w:hint="eastAsia"/>
                <w:b/>
                <w:bCs/>
                <w:sz w:val="21"/>
                <w:szCs w:val="21"/>
              </w:rPr>
              <w:t>环评审批年消耗量</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b/>
                <w:bCs/>
                <w:sz w:val="21"/>
                <w:szCs w:val="21"/>
              </w:rPr>
            </w:pPr>
            <w:r>
              <w:rPr>
                <w:rFonts w:hint="eastAsia"/>
                <w:b/>
                <w:bCs/>
                <w:sz w:val="21"/>
                <w:szCs w:val="21"/>
              </w:rPr>
              <w:t>调查期间实际消耗量实际消耗量</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b/>
                <w:bCs/>
                <w:sz w:val="21"/>
                <w:szCs w:val="21"/>
              </w:rPr>
            </w:pPr>
            <w:r>
              <w:rPr>
                <w:rFonts w:hint="eastAsia"/>
                <w:b/>
                <w:bCs/>
                <w:sz w:val="21"/>
                <w:szCs w:val="21"/>
              </w:rPr>
              <w:t>折算为年消耗量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纱线</w:t>
            </w:r>
            <w:r>
              <w:rPr>
                <w:sz w:val="21"/>
                <w:szCs w:val="21"/>
              </w:rPr>
              <w:t>*</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2800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坯布</w:t>
            </w:r>
            <w:r>
              <w:rPr>
                <w:sz w:val="21"/>
                <w:szCs w:val="21"/>
              </w:rPr>
              <w:t>*</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万</w:t>
            </w:r>
            <w:r>
              <w:rPr>
                <w:sz w:val="21"/>
                <w:szCs w:val="21"/>
              </w:rPr>
              <w:t>m/a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80.5</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3</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经编复合底布</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万</w:t>
            </w:r>
            <w:r>
              <w:rPr>
                <w:sz w:val="21"/>
                <w:szCs w:val="21"/>
              </w:rPr>
              <w:t>m/a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168</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26.9</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4</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水性复合胶</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25</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4</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5</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印花纸</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6</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水性印花油墨</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12</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7</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烫金膜</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8</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水性聚氨酯胶</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9</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水性聚丙烯酸涂层胶</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146.7</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23.3</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10</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水性阻燃涂层胶</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112.5</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17.8</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11</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水性防水涂层胶</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66.7</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10.6</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12</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整理剂</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1.5</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13</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防污助剂</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1.5</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14</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水</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t/a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7805</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540.8</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3380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15</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电</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万</w:t>
            </w:r>
            <w:r>
              <w:rPr>
                <w:sz w:val="21"/>
                <w:szCs w:val="21"/>
              </w:rPr>
              <w:t>kWh/a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300</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31.7</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16</w:t>
            </w:r>
          </w:p>
        </w:tc>
        <w:tc>
          <w:tcPr>
            <w:tcW w:w="104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天然气</w:t>
            </w:r>
          </w:p>
        </w:tc>
        <w:tc>
          <w:tcPr>
            <w:tcW w:w="613"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rFonts w:hint="eastAsia"/>
                <w:sz w:val="21"/>
                <w:szCs w:val="21"/>
              </w:rPr>
              <w:t>万</w:t>
            </w:r>
            <w:r>
              <w:rPr>
                <w:sz w:val="21"/>
                <w:szCs w:val="21"/>
              </w:rPr>
              <w:t>Nm³/a</w:t>
            </w:r>
          </w:p>
        </w:tc>
        <w:tc>
          <w:tcPr>
            <w:tcW w:w="946"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24.6</w:t>
            </w:r>
          </w:p>
        </w:tc>
        <w:tc>
          <w:tcPr>
            <w:tcW w:w="10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3.8</w:t>
            </w:r>
          </w:p>
        </w:tc>
        <w:tc>
          <w:tcPr>
            <w:tcW w:w="98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textAlignment w:val="center"/>
              <w:rPr>
                <w:sz w:val="21"/>
                <w:szCs w:val="21"/>
              </w:rPr>
            </w:pPr>
            <w:r>
              <w:rPr>
                <w:sz w:val="21"/>
                <w:szCs w:val="21"/>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Borders>
              <w:top w:val="single" w:color="auto" w:sz="4" w:space="0"/>
              <w:left w:val="single" w:color="auto" w:sz="4" w:space="0"/>
              <w:bottom w:val="single" w:color="auto" w:sz="4" w:space="0"/>
              <w:right w:val="single" w:color="auto" w:sz="4" w:space="0"/>
            </w:tcBorders>
            <w:vAlign w:val="center"/>
          </w:tcPr>
          <w:p>
            <w:pPr>
              <w:pStyle w:val="43"/>
              <w:jc w:val="left"/>
              <w:rPr>
                <w:color w:val="auto"/>
              </w:rPr>
            </w:pPr>
            <w:r>
              <w:rPr>
                <w:rFonts w:hint="eastAsia"/>
                <w:color w:val="auto"/>
              </w:rPr>
              <w:t>备注：</w:t>
            </w:r>
            <w:r>
              <w:rPr>
                <w:color w:val="auto"/>
              </w:rPr>
              <w:t>*</w:t>
            </w:r>
            <w:r>
              <w:rPr>
                <w:rFonts w:hint="eastAsia"/>
                <w:color w:val="auto"/>
              </w:rPr>
              <w:t>本项目在实施过程中整经机、剑杆机暂未购置，织造工艺暂未实施，现阶段为外购坯布。验收调查时间为</w:t>
            </w:r>
            <w:r>
              <w:rPr>
                <w:color w:val="auto"/>
              </w:rPr>
              <w:t>2022</w:t>
            </w:r>
            <w:r>
              <w:rPr>
                <w:rFonts w:hint="eastAsia"/>
                <w:color w:val="auto"/>
              </w:rPr>
              <w:t>年</w:t>
            </w:r>
            <w:r>
              <w:rPr>
                <w:color w:val="auto"/>
              </w:rPr>
              <w:t>9</w:t>
            </w:r>
            <w:r>
              <w:rPr>
                <w:rFonts w:hint="eastAsia"/>
                <w:color w:val="auto"/>
              </w:rPr>
              <w:t>月</w:t>
            </w:r>
            <w:r>
              <w:rPr>
                <w:color w:val="auto"/>
              </w:rPr>
              <w:t>1</w:t>
            </w:r>
            <w:r>
              <w:rPr>
                <w:rFonts w:hint="eastAsia"/>
                <w:color w:val="auto"/>
              </w:rPr>
              <w:t>日</w:t>
            </w:r>
            <w:r>
              <w:rPr>
                <w:color w:val="auto"/>
              </w:rPr>
              <w:t>-10</w:t>
            </w:r>
            <w:r>
              <w:rPr>
                <w:rFonts w:hint="eastAsia"/>
                <w:color w:val="auto"/>
              </w:rPr>
              <w:t>月</w:t>
            </w:r>
            <w:r>
              <w:rPr>
                <w:color w:val="auto"/>
              </w:rPr>
              <w:t>31</w:t>
            </w:r>
            <w:r>
              <w:rPr>
                <w:rFonts w:hint="eastAsia"/>
                <w:color w:val="auto"/>
              </w:rPr>
              <w:t>日，期间公司实际生产天数为</w:t>
            </w:r>
            <w:r>
              <w:rPr>
                <w:color w:val="auto"/>
              </w:rPr>
              <w:t>48</w:t>
            </w:r>
            <w:r>
              <w:rPr>
                <w:rFonts w:hint="eastAsia"/>
                <w:color w:val="auto"/>
              </w:rPr>
              <w:t>天，公司年生产天数为</w:t>
            </w:r>
            <w:r>
              <w:rPr>
                <w:color w:val="auto"/>
              </w:rPr>
              <w:t>300</w:t>
            </w:r>
            <w:r>
              <w:rPr>
                <w:rFonts w:hint="eastAsia"/>
                <w:color w:val="auto"/>
              </w:rPr>
              <w:t>天。</w:t>
            </w:r>
          </w:p>
        </w:tc>
      </w:tr>
    </w:tbl>
    <w:p>
      <w:pPr>
        <w:ind w:firstLine="480"/>
        <w:jc w:val="right"/>
      </w:pPr>
    </w:p>
    <w:p>
      <w:pPr>
        <w:pStyle w:val="2"/>
        <w:ind w:left="480" w:firstLine="480"/>
      </w:pPr>
    </w:p>
    <w:p>
      <w:pPr>
        <w:ind w:firstLine="480"/>
        <w:jc w:val="right"/>
      </w:pPr>
      <w:r>
        <w:rPr>
          <w:rFonts w:hint="eastAsia"/>
        </w:rPr>
        <w:t>桐乡市诺派纺织科技有限公司</w:t>
      </w:r>
    </w:p>
    <w:p>
      <w:pPr>
        <w:ind w:firstLine="480"/>
        <w:jc w:val="right"/>
      </w:pPr>
      <w:r>
        <w:t>2022</w:t>
      </w:r>
      <w:r>
        <w:rPr>
          <w:rFonts w:hint="eastAsia"/>
        </w:rPr>
        <w:t>年</w:t>
      </w:r>
      <w:r>
        <w:t>11</w:t>
      </w:r>
      <w:r>
        <w:rPr>
          <w:rFonts w:hint="eastAsia"/>
        </w:rPr>
        <w:t>月</w:t>
      </w:r>
      <w:r>
        <w:t>30</w:t>
      </w:r>
      <w:r>
        <w:rPr>
          <w:rFonts w:hint="eastAsia"/>
        </w:rPr>
        <w:t>日</w:t>
      </w:r>
    </w:p>
    <w:p>
      <w:pPr>
        <w:pStyle w:val="2"/>
        <w:ind w:left="0" w:leftChars="0" w:firstLine="0" w:firstLineChars="0"/>
        <w:jc w:val="center"/>
      </w:pPr>
    </w:p>
    <w:p>
      <w:pPr>
        <w:pStyle w:val="2"/>
        <w:ind w:left="480" w:firstLine="480"/>
        <w:jc w:val="center"/>
        <w:sectPr>
          <w:pgSz w:w="11906" w:h="16838"/>
          <w:pgMar w:top="1418" w:right="1701" w:bottom="1418" w:left="1701" w:header="851" w:footer="992" w:gutter="0"/>
          <w:pgNumType w:fmt="numberInDash"/>
          <w:cols w:space="0" w:num="1"/>
          <w:docGrid w:type="lines" w:linePitch="332" w:charSpace="0"/>
        </w:sectPr>
      </w:pPr>
    </w:p>
    <w:p>
      <w:pPr>
        <w:ind w:firstLine="0" w:firstLineChars="0"/>
        <w:rPr>
          <w:rFonts w:cs="Times New Roman" w:eastAsiaTheme="majorEastAsia"/>
          <w:b/>
          <w:sz w:val="28"/>
          <w:szCs w:val="28"/>
        </w:rPr>
      </w:pPr>
      <w:r>
        <w:rPr>
          <w:rFonts w:hint="eastAsia" w:cs="Times New Roman" w:eastAsiaTheme="majorEastAsia"/>
          <w:b/>
          <w:sz w:val="28"/>
          <w:szCs w:val="28"/>
        </w:rPr>
        <w:t>附件</w:t>
      </w:r>
      <w:r>
        <w:rPr>
          <w:rFonts w:cs="Times New Roman" w:eastAsiaTheme="majorEastAsia"/>
          <w:b/>
          <w:sz w:val="28"/>
          <w:szCs w:val="28"/>
        </w:rPr>
        <w:t xml:space="preserve">9 </w:t>
      </w:r>
      <w:r>
        <w:rPr>
          <w:rFonts w:hint="eastAsia" w:cs="Times New Roman" w:eastAsiaTheme="majorEastAsia"/>
          <w:b/>
          <w:sz w:val="28"/>
          <w:szCs w:val="28"/>
        </w:rPr>
        <w:t>危废处置协议</w:t>
      </w:r>
    </w:p>
    <w:p>
      <w:pPr>
        <w:ind w:firstLine="0" w:firstLineChars="0"/>
        <w:jc w:val="center"/>
      </w:pPr>
      <w:r>
        <w:drawing>
          <wp:inline distT="0" distB="0" distL="0" distR="0">
            <wp:extent cx="3677285" cy="476758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3"/>
                    <a:stretch>
                      <a:fillRect/>
                    </a:stretch>
                  </pic:blipFill>
                  <pic:spPr>
                    <a:xfrm>
                      <a:off x="0" y="0"/>
                      <a:ext cx="3698578" cy="4794688"/>
                    </a:xfrm>
                    <a:prstGeom prst="rect">
                      <a:avLst/>
                    </a:prstGeom>
                  </pic:spPr>
                </pic:pic>
              </a:graphicData>
            </a:graphic>
          </wp:inline>
        </w:drawing>
      </w:r>
      <w:r>
        <w:rPr>
          <w:rFonts w:hint="eastAsia"/>
        </w:rPr>
        <w:t xml:space="preserve"> </w:t>
      </w:r>
      <w:r>
        <w:drawing>
          <wp:inline distT="0" distB="0" distL="0" distR="0">
            <wp:extent cx="3448685" cy="473583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4"/>
                    <a:stretch>
                      <a:fillRect/>
                    </a:stretch>
                  </pic:blipFill>
                  <pic:spPr>
                    <a:xfrm>
                      <a:off x="0" y="0"/>
                      <a:ext cx="3472043" cy="4767234"/>
                    </a:xfrm>
                    <a:prstGeom prst="rect">
                      <a:avLst/>
                    </a:prstGeom>
                  </pic:spPr>
                </pic:pic>
              </a:graphicData>
            </a:graphic>
          </wp:inline>
        </w:drawing>
      </w:r>
      <w:r>
        <w:t xml:space="preserve"> </w:t>
      </w:r>
    </w:p>
    <w:p>
      <w:pPr>
        <w:pStyle w:val="2"/>
        <w:ind w:left="480" w:firstLine="480"/>
      </w:pPr>
      <w:r>
        <w:drawing>
          <wp:inline distT="0" distB="0" distL="0" distR="0">
            <wp:extent cx="3669030" cy="5400040"/>
            <wp:effectExtent l="0" t="0" r="762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5"/>
                    <a:stretch>
                      <a:fillRect/>
                    </a:stretch>
                  </pic:blipFill>
                  <pic:spPr>
                    <a:xfrm>
                      <a:off x="0" y="0"/>
                      <a:ext cx="3669030" cy="5400040"/>
                    </a:xfrm>
                    <a:prstGeom prst="rect">
                      <a:avLst/>
                    </a:prstGeom>
                  </pic:spPr>
                </pic:pic>
              </a:graphicData>
            </a:graphic>
          </wp:inline>
        </w:drawing>
      </w:r>
      <w:r>
        <w:rPr>
          <w:rFonts w:hint="eastAsia"/>
        </w:rPr>
        <w:t xml:space="preserve"> </w:t>
      </w:r>
      <w:r>
        <w:drawing>
          <wp:inline distT="0" distB="0" distL="0" distR="0">
            <wp:extent cx="3706495" cy="5400040"/>
            <wp:effectExtent l="0" t="0" r="825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6"/>
                    <a:stretch>
                      <a:fillRect/>
                    </a:stretch>
                  </pic:blipFill>
                  <pic:spPr>
                    <a:xfrm>
                      <a:off x="0" y="0"/>
                      <a:ext cx="3706495" cy="5400040"/>
                    </a:xfrm>
                    <a:prstGeom prst="rect">
                      <a:avLst/>
                    </a:prstGeom>
                  </pic:spPr>
                </pic:pic>
              </a:graphicData>
            </a:graphic>
          </wp:inline>
        </w:drawing>
      </w:r>
      <w:r>
        <w:t xml:space="preserve"> </w:t>
      </w:r>
    </w:p>
    <w:p>
      <w:pPr>
        <w:pStyle w:val="2"/>
        <w:ind w:left="480" w:firstLine="480"/>
        <w:jc w:val="center"/>
      </w:pPr>
      <w:r>
        <w:drawing>
          <wp:inline distT="0" distB="0" distL="0" distR="0">
            <wp:extent cx="3614420" cy="5400040"/>
            <wp:effectExtent l="0" t="0" r="508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7"/>
                    <a:stretch>
                      <a:fillRect/>
                    </a:stretch>
                  </pic:blipFill>
                  <pic:spPr>
                    <a:xfrm>
                      <a:off x="0" y="0"/>
                      <a:ext cx="3614420" cy="5400040"/>
                    </a:xfrm>
                    <a:prstGeom prst="rect">
                      <a:avLst/>
                    </a:prstGeom>
                  </pic:spPr>
                </pic:pic>
              </a:graphicData>
            </a:graphic>
          </wp:inline>
        </w:drawing>
      </w:r>
      <w:r>
        <w:drawing>
          <wp:inline distT="0" distB="0" distL="0" distR="0">
            <wp:extent cx="3620770" cy="540004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8"/>
                    <a:stretch>
                      <a:fillRect/>
                    </a:stretch>
                  </pic:blipFill>
                  <pic:spPr>
                    <a:xfrm>
                      <a:off x="0" y="0"/>
                      <a:ext cx="3620770" cy="5400040"/>
                    </a:xfrm>
                    <a:prstGeom prst="rect">
                      <a:avLst/>
                    </a:prstGeom>
                  </pic:spPr>
                </pic:pic>
              </a:graphicData>
            </a:graphic>
          </wp:inline>
        </w:drawing>
      </w:r>
      <w:r>
        <w:drawing>
          <wp:inline distT="0" distB="0" distL="0" distR="0">
            <wp:extent cx="3606165" cy="540004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9"/>
                    <a:stretch>
                      <a:fillRect/>
                    </a:stretch>
                  </pic:blipFill>
                  <pic:spPr>
                    <a:xfrm>
                      <a:off x="0" y="0"/>
                      <a:ext cx="3610675" cy="5406401"/>
                    </a:xfrm>
                    <a:prstGeom prst="rect">
                      <a:avLst/>
                    </a:prstGeom>
                  </pic:spPr>
                </pic:pic>
              </a:graphicData>
            </a:graphic>
          </wp:inline>
        </w:drawing>
      </w:r>
      <w:r>
        <w:t xml:space="preserve"> </w:t>
      </w:r>
      <w:r>
        <w:drawing>
          <wp:inline distT="0" distB="0" distL="0" distR="0">
            <wp:extent cx="3868420" cy="540004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0"/>
                    <a:stretch>
                      <a:fillRect/>
                    </a:stretch>
                  </pic:blipFill>
                  <pic:spPr>
                    <a:xfrm>
                      <a:off x="0" y="0"/>
                      <a:ext cx="3868420" cy="5400040"/>
                    </a:xfrm>
                    <a:prstGeom prst="rect">
                      <a:avLst/>
                    </a:prstGeom>
                  </pic:spPr>
                </pic:pic>
              </a:graphicData>
            </a:graphic>
          </wp:inline>
        </w:drawing>
      </w:r>
      <w:r>
        <w:t xml:space="preserve"> </w:t>
      </w:r>
    </w:p>
    <w:p>
      <w:pPr>
        <w:pStyle w:val="2"/>
        <w:ind w:left="480" w:firstLine="480"/>
        <w:sectPr>
          <w:pgSz w:w="16838" w:h="11906" w:orient="landscape"/>
          <w:pgMar w:top="1701" w:right="1418" w:bottom="1701" w:left="1418" w:header="851" w:footer="992" w:gutter="0"/>
          <w:pgNumType w:fmt="numberInDash"/>
          <w:cols w:space="0" w:num="1"/>
          <w:docGrid w:type="linesAndChars" w:linePitch="332" w:charSpace="0"/>
        </w:sectPr>
      </w:pPr>
    </w:p>
    <w:p>
      <w:pPr>
        <w:pStyle w:val="2"/>
        <w:ind w:left="0" w:leftChars="0" w:firstLine="0" w:firstLineChars="0"/>
        <w:jc w:val="center"/>
        <w:sectPr>
          <w:pgSz w:w="11906" w:h="16838"/>
          <w:pgMar w:top="1418" w:right="1701" w:bottom="1418" w:left="1701" w:header="851" w:footer="992" w:gutter="0"/>
          <w:pgNumType w:fmt="numberInDash"/>
          <w:cols w:space="0" w:num="1"/>
          <w:docGrid w:type="lines" w:linePitch="332" w:charSpace="0"/>
        </w:sectPr>
      </w:pPr>
      <w:r>
        <w:drawing>
          <wp:inline distT="0" distB="0" distL="0" distR="0">
            <wp:extent cx="4511040" cy="6118860"/>
            <wp:effectExtent l="0" t="0" r="381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1"/>
                    <a:stretch>
                      <a:fillRect/>
                    </a:stretch>
                  </pic:blipFill>
                  <pic:spPr>
                    <a:xfrm>
                      <a:off x="0" y="0"/>
                      <a:ext cx="4530018" cy="6144073"/>
                    </a:xfrm>
                    <a:prstGeom prst="rect">
                      <a:avLst/>
                    </a:prstGeom>
                  </pic:spPr>
                </pic:pic>
              </a:graphicData>
            </a:graphic>
          </wp:inline>
        </w:drawing>
      </w:r>
    </w:p>
    <w:p>
      <w:pPr>
        <w:ind w:firstLine="0" w:firstLineChars="0"/>
        <w:rPr>
          <w:rFonts w:cs="Times New Roman" w:eastAsiaTheme="majorEastAsia"/>
          <w:b/>
          <w:sz w:val="28"/>
          <w:szCs w:val="28"/>
        </w:rPr>
      </w:pPr>
      <w:r>
        <w:rPr>
          <w:rFonts w:hint="eastAsia" w:cs="Times New Roman" w:eastAsiaTheme="majorEastAsia"/>
          <w:b/>
          <w:sz w:val="28"/>
          <w:szCs w:val="28"/>
        </w:rPr>
        <w:t>附件1</w:t>
      </w:r>
      <w:r>
        <w:rPr>
          <w:rFonts w:cs="Times New Roman" w:eastAsiaTheme="majorEastAsia"/>
          <w:b/>
          <w:sz w:val="28"/>
          <w:szCs w:val="28"/>
        </w:rPr>
        <w:t xml:space="preserve">0 </w:t>
      </w:r>
      <w:r>
        <w:rPr>
          <w:rFonts w:hint="eastAsia" w:cs="Times New Roman" w:eastAsiaTheme="majorEastAsia"/>
          <w:b/>
          <w:sz w:val="28"/>
          <w:szCs w:val="28"/>
        </w:rPr>
        <w:t>环境管理规章制度</w:t>
      </w:r>
    </w:p>
    <w:p>
      <w:pPr>
        <w:ind w:firstLine="720"/>
        <w:jc w:val="center"/>
        <w:rPr>
          <w:sz w:val="36"/>
          <w:szCs w:val="36"/>
        </w:rPr>
      </w:pPr>
      <w:r>
        <w:rPr>
          <w:sz w:val="36"/>
          <w:szCs w:val="36"/>
        </w:rPr>
        <w:t>桐乡市诺派纺织科技有限公司</w:t>
      </w:r>
    </w:p>
    <w:p>
      <w:pPr>
        <w:ind w:firstLine="640"/>
        <w:jc w:val="center"/>
        <w:rPr>
          <w:sz w:val="32"/>
          <w:szCs w:val="32"/>
        </w:rPr>
      </w:pPr>
      <w:r>
        <w:rPr>
          <w:sz w:val="32"/>
          <w:szCs w:val="32"/>
        </w:rPr>
        <w:t>环境管理规章制度</w:t>
      </w:r>
    </w:p>
    <w:p>
      <w:pPr>
        <w:ind w:firstLine="480"/>
      </w:pPr>
      <w:r>
        <w:t>1、编制目的</w:t>
      </w:r>
    </w:p>
    <w:p>
      <w:pPr>
        <w:ind w:firstLine="480"/>
      </w:pPr>
      <w:r>
        <w:t>为了有效的加大公司日常生产过程中的安全</w:t>
      </w:r>
      <w:r>
        <w:rPr>
          <w:rFonts w:hint="eastAsia"/>
        </w:rPr>
        <w:t>、</w:t>
      </w:r>
      <w:r>
        <w:t>环保管理力度</w:t>
      </w:r>
      <w:r>
        <w:rPr>
          <w:rFonts w:hint="eastAsia"/>
        </w:rPr>
        <w:t>，</w:t>
      </w:r>
      <w:r>
        <w:t>提高员工安全环保意识</w:t>
      </w:r>
      <w:r>
        <w:rPr>
          <w:rFonts w:hint="eastAsia"/>
        </w:rPr>
        <w:t>，</w:t>
      </w:r>
      <w:r>
        <w:t>加强公司安全环保监督管理工作</w:t>
      </w:r>
      <w:r>
        <w:rPr>
          <w:rFonts w:hint="eastAsia"/>
        </w:rPr>
        <w:t>，</w:t>
      </w:r>
      <w:r>
        <w:t>依照国家有关法律法规和相关政策规定及上级环保部门的相关要求</w:t>
      </w:r>
      <w:r>
        <w:rPr>
          <w:rFonts w:hint="eastAsia"/>
        </w:rPr>
        <w:t>，</w:t>
      </w:r>
      <w:r>
        <w:t>落实</w:t>
      </w:r>
      <w:r>
        <w:rPr>
          <w:rFonts w:hint="eastAsia"/>
        </w:rPr>
        <w:t>“安全清洁生产、综合预防为主”的工作防震结合公司实际情况，制定本制度。</w:t>
      </w:r>
    </w:p>
    <w:p>
      <w:pPr>
        <w:ind w:firstLine="480"/>
      </w:pPr>
      <w:r>
        <w:rPr>
          <w:rFonts w:hint="eastAsia"/>
        </w:rPr>
        <w:t>2、适用范围</w:t>
      </w:r>
    </w:p>
    <w:p>
      <w:pPr>
        <w:ind w:firstLine="480"/>
      </w:pPr>
      <w:r>
        <w:t>本规定适用于桐乡市诺派纺织科技有限公司内部管理</w:t>
      </w:r>
      <w:r>
        <w:rPr>
          <w:rFonts w:hint="eastAsia"/>
        </w:rPr>
        <w:t>。</w:t>
      </w:r>
    </w:p>
    <w:p>
      <w:pPr>
        <w:ind w:firstLine="480"/>
      </w:pPr>
      <w:r>
        <w:rPr>
          <w:rFonts w:hint="eastAsia"/>
        </w:rPr>
        <w:t>3、职责</w:t>
      </w:r>
    </w:p>
    <w:p>
      <w:pPr>
        <w:ind w:firstLine="480"/>
      </w:pPr>
      <w:r>
        <w:rPr>
          <w:rFonts w:hint="eastAsia"/>
        </w:rPr>
        <w:t>1）公司主要负责人为公司安全环保的第一责任人，负责公司安全环保总体管理和协调。</w:t>
      </w:r>
    </w:p>
    <w:p>
      <w:pPr>
        <w:ind w:firstLine="480"/>
      </w:pPr>
      <w:r>
        <w:rPr>
          <w:rFonts w:hint="eastAsia"/>
        </w:rPr>
        <w:t>2）各部门、恶剪负责人为本部门、车间的安全环保第一责任人，负责格子管理范围内的安全、环保管理工作，并承担安全环保管理责任。</w:t>
      </w:r>
    </w:p>
    <w:p>
      <w:pPr>
        <w:ind w:firstLine="480"/>
      </w:pPr>
      <w:r>
        <w:rPr>
          <w:rFonts w:hint="eastAsia"/>
        </w:rPr>
        <w:t>3）管理部对各部门、车间的环境卫生、定置定位摆放及劳动纪律等工作负管理责任。</w:t>
      </w:r>
    </w:p>
    <w:p>
      <w:pPr>
        <w:ind w:firstLine="480"/>
      </w:pPr>
      <w:r>
        <w:rPr>
          <w:rFonts w:hint="eastAsia"/>
        </w:rPr>
        <w:t>4）安全环保部主要负责各部门、车间的安全环保督查，对公司安全环保工作负督查管理。</w:t>
      </w:r>
    </w:p>
    <w:p>
      <w:pPr>
        <w:ind w:firstLine="480"/>
      </w:pPr>
      <w:r>
        <w:rPr>
          <w:rFonts w:hint="eastAsia"/>
        </w:rPr>
        <w:t>4、监督管理</w:t>
      </w:r>
    </w:p>
    <w:p>
      <w:pPr>
        <w:ind w:firstLine="480"/>
      </w:pPr>
      <w:r>
        <w:rPr>
          <w:rFonts w:hint="eastAsia"/>
        </w:rPr>
        <w:t>1）负有安全环保监督管理职责的安环部人员履行安全环保监督检测时，各部门及车间人员应当予以配合，不得拒绝、阻挠。</w:t>
      </w:r>
    </w:p>
    <w:p>
      <w:pPr>
        <w:ind w:firstLine="480"/>
      </w:pPr>
      <w:r>
        <w:rPr>
          <w:rFonts w:hint="eastAsia"/>
        </w:rPr>
        <w:t>2）安全环保监督检查人员应忠于职守，坚持原则，秉公执法。</w:t>
      </w:r>
    </w:p>
    <w:p>
      <w:pPr>
        <w:ind w:firstLine="480"/>
      </w:pPr>
      <w:r>
        <w:rPr>
          <w:rFonts w:hint="eastAsia"/>
        </w:rPr>
        <w:t>3）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pPr>
        <w:ind w:firstLine="480"/>
      </w:pPr>
      <w:r>
        <w:rPr>
          <w:rFonts w:hint="eastAsia"/>
        </w:rPr>
        <w:t>4）各部门、车间负责内部的管理检查，并做好检查记录，定期上胶安全环保部存档。</w:t>
      </w:r>
    </w:p>
    <w:p>
      <w:pPr>
        <w:ind w:firstLine="480"/>
      </w:pPr>
      <w:r>
        <w:rPr>
          <w:rFonts w:hint="eastAsia"/>
        </w:rPr>
        <w:t>5）</w:t>
      </w:r>
      <w:r>
        <w:t>及时通知相关车间和部门进行整改并考核</w:t>
      </w:r>
      <w:r>
        <w:rPr>
          <w:rFonts w:hint="eastAsia"/>
        </w:rPr>
        <w:t>。</w:t>
      </w:r>
    </w:p>
    <w:p>
      <w:pPr>
        <w:ind w:firstLine="480"/>
      </w:pPr>
      <w:r>
        <w:t>6</w:t>
      </w:r>
      <w:r>
        <w:rPr>
          <w:rFonts w:hint="eastAsia"/>
        </w:rPr>
        <w:t>）</w:t>
      </w:r>
      <w:r>
        <w:t>车间中的相关废气治理按照车间制定的规章制度执行</w:t>
      </w:r>
      <w:r>
        <w:rPr>
          <w:rFonts w:hint="eastAsia"/>
        </w:rPr>
        <w:t>，</w:t>
      </w:r>
      <w:r>
        <w:t>废气治理设施做到</w:t>
      </w:r>
      <w:r>
        <w:rPr>
          <w:rFonts w:hint="eastAsia"/>
        </w:rPr>
        <w:t>“先启后停”。</w:t>
      </w:r>
    </w:p>
    <w:p>
      <w:pPr>
        <w:ind w:firstLine="480"/>
      </w:pPr>
      <w:r>
        <w:rPr>
          <w:rFonts w:hint="eastAsia"/>
        </w:rPr>
        <w:t>5、考核细则</w:t>
      </w:r>
    </w:p>
    <w:p>
      <w:pPr>
        <w:ind w:firstLine="480"/>
      </w:pPr>
      <w:r>
        <w:rPr>
          <w:rFonts w:hint="eastAsia"/>
        </w:rPr>
        <w:t>1）安全环保负责人对各职工下发的《隐患整改通知书》，各职工严格按照通知书的日期进行整改，对不能按时整改的，考核责任部门2</w:t>
      </w:r>
      <w:r>
        <w:t>0元</w:t>
      </w:r>
      <w:r>
        <w:rPr>
          <w:rFonts w:hint="eastAsia"/>
        </w:rPr>
        <w:t>/条，由于工艺及生产的原因不能按时整改的，需责任部门出具延期整改申请，并交总经理签字方可延期整改（为整改期间加强安全检查并做好安全防护措施）。</w:t>
      </w:r>
    </w:p>
    <w:p>
      <w:pPr>
        <w:ind w:firstLine="480"/>
      </w:pPr>
      <w:r>
        <w:rPr>
          <w:rFonts w:hint="eastAsia"/>
        </w:rPr>
        <w:t>2）安全环保负责人现场发现违规操作的，当场制止其违规行为，作为阿全隐患统计通知当班班长，对当场制止无效的要求车间进行处理，并将处理考核结果上报总经理，月末纳入核算考核工资范围。</w:t>
      </w:r>
    </w:p>
    <w:p>
      <w:pPr>
        <w:ind w:firstLine="480"/>
      </w:pPr>
      <w:r>
        <w:rPr>
          <w:rFonts w:hint="eastAsia"/>
        </w:rPr>
        <w:t>3）各职工随意动用消防器材的，个人5</w:t>
      </w:r>
      <w:r>
        <w:t>0元</w:t>
      </w:r>
      <w:r>
        <w:rPr>
          <w:rFonts w:hint="eastAsia"/>
        </w:rPr>
        <w:t>/次。处理事故用过的灭火器及时送回仓库，并补领新灭火器，用过没有补领的考核2</w:t>
      </w:r>
      <w:r>
        <w:t>0元</w:t>
      </w:r>
      <w:r>
        <w:rPr>
          <w:rFonts w:hint="eastAsia"/>
        </w:rPr>
        <w:t>/次；原则上消防箱内水带不得随意动用，特殊情况时，经安全环保部同意可使用，使用后晒干及时放回。</w:t>
      </w:r>
    </w:p>
    <w:p>
      <w:pPr>
        <w:ind w:firstLine="480"/>
      </w:pPr>
      <w:r>
        <w:rPr>
          <w:rFonts w:hint="eastAsia"/>
        </w:rPr>
        <w:t>4）安全环保负责人接到环保部门人员相关环境投诉的，安全安保责任人在第一时间通知车间进行处理，不能及时处理的考核5</w:t>
      </w:r>
      <w:r>
        <w:t>0元</w:t>
      </w:r>
      <w:r>
        <w:rPr>
          <w:rFonts w:hint="eastAsia"/>
        </w:rPr>
        <w:t>/次。</w:t>
      </w:r>
    </w:p>
    <w:p>
      <w:pPr>
        <w:ind w:firstLine="480"/>
      </w:pPr>
      <w:r>
        <w:rPr>
          <w:rFonts w:hint="eastAsia"/>
        </w:rPr>
        <w:t>5）公司领导街道环境投诉的，安全环保负责人考核5</w:t>
      </w:r>
      <w:r>
        <w:t>0元</w:t>
      </w:r>
      <w:r>
        <w:rPr>
          <w:rFonts w:hint="eastAsia"/>
        </w:rPr>
        <w:t>/次，相关职工考核1</w:t>
      </w:r>
      <w:r>
        <w:t>00元</w:t>
      </w:r>
      <w:r>
        <w:rPr>
          <w:rFonts w:hint="eastAsia"/>
        </w:rPr>
        <w:t>/次，并要求车间强制处理。</w:t>
      </w:r>
    </w:p>
    <w:p>
      <w:pPr>
        <w:ind w:firstLine="480"/>
      </w:pPr>
      <w:r>
        <w:rPr>
          <w:rFonts w:hint="eastAsia"/>
        </w:rPr>
        <w:t>6）部门或车间现场卫生、物品定置定位摆放、现场劳动纪律、工作服等劳保用品的佩戴按照公司相关条款进行考核。</w:t>
      </w:r>
    </w:p>
    <w:p>
      <w:pPr>
        <w:ind w:firstLine="480"/>
      </w:pPr>
      <w:r>
        <w:rPr>
          <w:rFonts w:hint="eastAsia"/>
        </w:rPr>
        <w:t>6、附则</w:t>
      </w:r>
    </w:p>
    <w:p>
      <w:pPr>
        <w:ind w:firstLine="480"/>
      </w:pPr>
      <w:r>
        <w:rPr>
          <w:rFonts w:hint="eastAsia"/>
        </w:rPr>
        <w:t>1）本规定根据运作情况的需要可进行补充修改。</w:t>
      </w:r>
    </w:p>
    <w:p>
      <w:pPr>
        <w:ind w:firstLine="480"/>
      </w:pPr>
      <w:r>
        <w:rPr>
          <w:rFonts w:hint="eastAsia"/>
        </w:rPr>
        <w:t>2）本规定自颁布之日起生效。</w:t>
      </w:r>
    </w:p>
    <w:p>
      <w:pPr>
        <w:ind w:firstLine="480"/>
      </w:pPr>
      <w:r>
        <w:t>目前</w:t>
      </w:r>
      <w:r>
        <w:rPr>
          <w:rFonts w:hint="eastAsia"/>
        </w:rPr>
        <w:t>，</w:t>
      </w:r>
      <w:r>
        <w:t>我公司各类污染物均按环评等相关文件的要求达标排放</w:t>
      </w:r>
      <w:r>
        <w:rPr>
          <w:rFonts w:hint="eastAsia"/>
        </w:rPr>
        <w:t>，</w:t>
      </w:r>
      <w:r>
        <w:t>满足总量控制要求</w:t>
      </w:r>
      <w:r>
        <w:rPr>
          <w:rFonts w:hint="eastAsia"/>
        </w:rPr>
        <w:t>。</w:t>
      </w:r>
    </w:p>
    <w:p>
      <w:pPr>
        <w:ind w:firstLine="480"/>
        <w:jc w:val="right"/>
      </w:pPr>
    </w:p>
    <w:p>
      <w:pPr>
        <w:pStyle w:val="4"/>
        <w:sectPr>
          <w:pgSz w:w="11906" w:h="16838"/>
          <w:pgMar w:top="1418" w:right="1701" w:bottom="1418" w:left="1701" w:header="851" w:footer="992" w:gutter="0"/>
          <w:pgNumType w:fmt="numberInDash"/>
          <w:cols w:space="0" w:num="1"/>
          <w:docGrid w:type="lines" w:linePitch="332" w:charSpace="0"/>
        </w:sectPr>
      </w:pPr>
    </w:p>
    <w:p>
      <w:pPr>
        <w:ind w:firstLine="0" w:firstLineChars="0"/>
        <w:rPr>
          <w:rFonts w:cs="Times New Roman" w:eastAsiaTheme="majorEastAsia"/>
          <w:b/>
          <w:sz w:val="28"/>
          <w:szCs w:val="28"/>
        </w:rPr>
      </w:pPr>
      <w:r>
        <w:rPr>
          <w:rFonts w:cs="Times New Roman" w:eastAsiaTheme="majorEastAsia"/>
          <w:b/>
          <w:sz w:val="28"/>
          <w:szCs w:val="28"/>
        </w:rPr>
        <w:drawing>
          <wp:anchor distT="0" distB="0" distL="114300" distR="114300" simplePos="0" relativeHeight="251659264" behindDoc="0" locked="0" layoutInCell="1" allowOverlap="1">
            <wp:simplePos x="0" y="0"/>
            <wp:positionH relativeFrom="column">
              <wp:posOffset>7881620</wp:posOffset>
            </wp:positionH>
            <wp:positionV relativeFrom="paragraph">
              <wp:posOffset>408940</wp:posOffset>
            </wp:positionV>
            <wp:extent cx="501015" cy="749935"/>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1161" cy="749935"/>
                    </a:xfrm>
                    <a:prstGeom prst="rect">
                      <a:avLst/>
                    </a:prstGeom>
                  </pic:spPr>
                </pic:pic>
              </a:graphicData>
            </a:graphic>
          </wp:anchor>
        </w:drawing>
      </w:r>
      <w:r>
        <w:rPr>
          <w:rFonts w:hint="eastAsia" w:cs="Times New Roman" w:eastAsiaTheme="majorEastAsia"/>
          <w:b/>
          <w:sz w:val="28"/>
          <w:szCs w:val="28"/>
        </w:rPr>
        <w:t>附图</w:t>
      </w:r>
    </w:p>
    <w:p>
      <w:pPr>
        <w:ind w:firstLine="0" w:firstLineChars="0"/>
        <w:rPr>
          <w:rFonts w:cs="Times New Roman" w:eastAsiaTheme="majorEastAsia"/>
          <w:b/>
          <w:sz w:val="28"/>
          <w:szCs w:val="28"/>
        </w:rPr>
      </w:pPr>
      <w:r>
        <w:rPr>
          <w:rFonts w:hint="eastAsia" w:cs="Times New Roman" w:eastAsiaTheme="majorEastAsia"/>
          <w:b/>
          <w:sz w:val="28"/>
          <w:szCs w:val="28"/>
        </w:rPr>
        <w:t>附图1</w:t>
      </w:r>
      <w:r>
        <w:rPr>
          <w:rFonts w:cs="Times New Roman" w:eastAsiaTheme="majorEastAsia"/>
          <w:b/>
          <w:sz w:val="28"/>
          <w:szCs w:val="28"/>
        </w:rPr>
        <w:t xml:space="preserve">  </w:t>
      </w:r>
      <w:r>
        <w:rPr>
          <w:rFonts w:hint="eastAsia" w:cs="Times New Roman" w:eastAsiaTheme="majorEastAsia"/>
          <w:b/>
          <w:sz w:val="28"/>
          <w:szCs w:val="28"/>
        </w:rPr>
        <w:t>卫生防护距离包络线图</w:t>
      </w:r>
    </w:p>
    <w:p>
      <w:pPr>
        <w:ind w:firstLine="0" w:firstLineChars="0"/>
        <w:jc w:val="center"/>
        <w:sectPr>
          <w:pgSz w:w="16838" w:h="11906" w:orient="landscape"/>
          <w:pgMar w:top="1701" w:right="1418" w:bottom="1701" w:left="1418" w:header="851" w:footer="992" w:gutter="0"/>
          <w:pgNumType w:fmt="numberInDash"/>
          <w:cols w:space="0" w:num="1"/>
          <w:docGrid w:type="linesAndChars" w:linePitch="332" w:charSpace="0"/>
        </w:sectPr>
      </w:pPr>
      <w:r>
        <w:drawing>
          <wp:inline distT="0" distB="0" distL="0" distR="0">
            <wp:extent cx="6793865" cy="4363085"/>
            <wp:effectExtent l="0" t="0" r="698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3"/>
                    <a:stretch>
                      <a:fillRect/>
                    </a:stretch>
                  </pic:blipFill>
                  <pic:spPr>
                    <a:xfrm>
                      <a:off x="0" y="0"/>
                      <a:ext cx="6846400" cy="4397014"/>
                    </a:xfrm>
                    <a:prstGeom prst="rect">
                      <a:avLst/>
                    </a:prstGeom>
                  </pic:spPr>
                </pic:pic>
              </a:graphicData>
            </a:graphic>
          </wp:inline>
        </w:drawing>
      </w:r>
    </w:p>
    <w:p>
      <w:pPr>
        <w:ind w:firstLine="0" w:firstLineChars="0"/>
        <w:rPr>
          <w:rFonts w:hint="eastAsia" w:cs="Times New Roman" w:eastAsiaTheme="majorEastAsia"/>
          <w:b/>
          <w:sz w:val="28"/>
          <w:szCs w:val="28"/>
          <w:lang w:val="en-US" w:eastAsia="zh-CN"/>
        </w:rPr>
      </w:pPr>
      <w:r>
        <w:rPr>
          <w:rFonts w:hint="eastAsia" w:cs="Times New Roman" w:eastAsiaTheme="majorEastAsia"/>
          <w:b/>
          <w:sz w:val="28"/>
          <w:szCs w:val="28"/>
          <w:lang w:val="en-US" w:eastAsia="zh-CN"/>
        </w:rPr>
        <w:t>其他情况说明</w:t>
      </w:r>
    </w:p>
    <w:p>
      <w:pPr>
        <w:spacing w:line="360" w:lineRule="auto"/>
        <w:jc w:val="center"/>
        <w:rPr>
          <w:rFonts w:ascii="Times New Roman" w:hAnsi="Times New Roman"/>
          <w:b/>
          <w:bCs/>
          <w:sz w:val="30"/>
          <w:szCs w:val="30"/>
        </w:rPr>
      </w:pPr>
      <w:r>
        <w:rPr>
          <w:rFonts w:hint="eastAsia" w:ascii="Times New Roman" w:hAnsi="Times New Roman"/>
          <w:b/>
          <w:bCs/>
          <w:sz w:val="30"/>
          <w:szCs w:val="30"/>
        </w:rPr>
        <w:t>桐乡市诺派纺织科技有限公司年产5</w:t>
      </w:r>
      <w:r>
        <w:rPr>
          <w:rFonts w:ascii="Times New Roman" w:hAnsi="Times New Roman"/>
          <w:b/>
          <w:bCs/>
          <w:sz w:val="30"/>
          <w:szCs w:val="30"/>
        </w:rPr>
        <w:t>00万米功能性装饰面料建设项目其他情况说明</w:t>
      </w:r>
    </w:p>
    <w:p>
      <w:pPr>
        <w:numPr>
          <w:ilvl w:val="0"/>
          <w:numId w:val="2"/>
        </w:numPr>
        <w:spacing w:line="360" w:lineRule="auto"/>
        <w:rPr>
          <w:rFonts w:ascii="Times New Roman" w:hAnsi="Times New Roman"/>
          <w:sz w:val="24"/>
        </w:rPr>
      </w:pPr>
      <w:r>
        <w:rPr>
          <w:rFonts w:ascii="Times New Roman" w:hAnsi="Times New Roman"/>
          <w:sz w:val="24"/>
        </w:rPr>
        <w:t>环境保护设施设计、施工和验收过程简况</w:t>
      </w:r>
    </w:p>
    <w:p>
      <w:pPr>
        <w:spacing w:line="360" w:lineRule="auto"/>
        <w:ind w:firstLine="480" w:firstLineChars="200"/>
        <w:rPr>
          <w:rFonts w:ascii="Times New Roman" w:hAnsi="Times New Roman"/>
          <w:sz w:val="24"/>
        </w:rPr>
      </w:pPr>
      <w:r>
        <w:rPr>
          <w:rFonts w:hint="eastAsia" w:ascii="Times New Roman" w:hAnsi="Times New Roman"/>
          <w:sz w:val="24"/>
        </w:rPr>
        <w:t>桐乡市诺派纺织科技有限公司成立于</w:t>
      </w:r>
      <w:r>
        <w:rPr>
          <w:rFonts w:ascii="Times New Roman" w:hAnsi="Times New Roman"/>
          <w:sz w:val="24"/>
        </w:rPr>
        <w:t>2020</w:t>
      </w:r>
      <w:r>
        <w:rPr>
          <w:rFonts w:hint="eastAsia" w:ascii="Times New Roman" w:hAnsi="Times New Roman"/>
          <w:sz w:val="24"/>
        </w:rPr>
        <w:t>年</w:t>
      </w:r>
      <w:r>
        <w:rPr>
          <w:rFonts w:ascii="Times New Roman" w:hAnsi="Times New Roman"/>
          <w:sz w:val="24"/>
        </w:rPr>
        <w:t>4</w:t>
      </w:r>
      <w:r>
        <w:rPr>
          <w:rFonts w:hint="eastAsia" w:ascii="Times New Roman" w:hAnsi="Times New Roman"/>
          <w:sz w:val="24"/>
        </w:rPr>
        <w:t>月，公司计划</w:t>
      </w:r>
      <w:bookmarkStart w:id="164" w:name="_GoBack"/>
      <w:bookmarkEnd w:id="164"/>
      <w:r>
        <w:rPr>
          <w:rFonts w:hint="eastAsia" w:ascii="Times New Roman" w:hAnsi="Times New Roman"/>
          <w:sz w:val="24"/>
        </w:rPr>
        <w:t>投资</w:t>
      </w:r>
      <w:r>
        <w:rPr>
          <w:rFonts w:ascii="Times New Roman" w:hAnsi="Times New Roman"/>
          <w:sz w:val="24"/>
        </w:rPr>
        <w:t>4865</w:t>
      </w:r>
      <w:r>
        <w:rPr>
          <w:rFonts w:hint="eastAsia" w:ascii="Times New Roman" w:hAnsi="Times New Roman"/>
          <w:sz w:val="24"/>
        </w:rPr>
        <w:t>万元，实际投资</w:t>
      </w:r>
      <w:r>
        <w:rPr>
          <w:rFonts w:ascii="Times New Roman" w:hAnsi="Times New Roman"/>
          <w:sz w:val="24"/>
        </w:rPr>
        <w:t>2890万元</w:t>
      </w:r>
      <w:r>
        <w:rPr>
          <w:rFonts w:hint="eastAsia" w:ascii="Times New Roman" w:hAnsi="Times New Roman"/>
          <w:sz w:val="24"/>
        </w:rPr>
        <w:t>，其中环保投资</w:t>
      </w:r>
      <w:r>
        <w:rPr>
          <w:rFonts w:ascii="Times New Roman" w:hAnsi="Times New Roman"/>
          <w:sz w:val="24"/>
        </w:rPr>
        <w:t>142</w:t>
      </w:r>
      <w:r>
        <w:rPr>
          <w:rFonts w:hint="eastAsia" w:ascii="Times New Roman" w:hAnsi="Times New Roman"/>
          <w:sz w:val="24"/>
        </w:rPr>
        <w:t>万元，环保投资占比</w:t>
      </w:r>
      <w:r>
        <w:rPr>
          <w:rFonts w:ascii="Times New Roman" w:hAnsi="Times New Roman"/>
          <w:sz w:val="24"/>
        </w:rPr>
        <w:t>4.91</w:t>
      </w:r>
      <w:r>
        <w:rPr>
          <w:rFonts w:hint="eastAsia" w:ascii="Times New Roman" w:hAnsi="Times New Roman"/>
          <w:sz w:val="24"/>
        </w:rPr>
        <w:t>%，租赁桐乡市炬力塑胶股份有限公司位于桐乡市洲泉镇工业功能区中小企业分区中河路158号的5000m</w:t>
      </w:r>
      <w:r>
        <w:rPr>
          <w:rFonts w:hint="eastAsia" w:ascii="Times New Roman" w:hAnsi="Times New Roman"/>
          <w:sz w:val="24"/>
          <w:vertAlign w:val="superscript"/>
        </w:rPr>
        <w:t>2</w:t>
      </w:r>
      <w:r>
        <w:rPr>
          <w:rFonts w:hint="eastAsia" w:ascii="Times New Roman" w:hAnsi="Times New Roman"/>
          <w:sz w:val="24"/>
        </w:rPr>
        <w:t>闲置厂房，购置涂层机2台、复合机1台、空压机1台等设备。目前公司整经机、剑杆机、转移印花设备（含印刷机、转移印花机）、烫金机、打卷机、压花机暂未购置，实际产能为年产500万米功能性装饰面料（其中涂层布332万米/年，复合布168万米/年，企业原计划布料经烫金、转移印花后再进行复合，目前企业实际外购布料进厂后直接进行复合）。</w:t>
      </w:r>
    </w:p>
    <w:p>
      <w:pPr>
        <w:spacing w:line="360" w:lineRule="auto"/>
        <w:ind w:firstLine="480" w:firstLineChars="200"/>
        <w:rPr>
          <w:rFonts w:ascii="Times New Roman" w:hAnsi="Times New Roman"/>
          <w:sz w:val="24"/>
        </w:rPr>
      </w:pPr>
      <w:r>
        <w:rPr>
          <w:rFonts w:hint="eastAsia" w:ascii="Times New Roman" w:hAnsi="Times New Roman"/>
          <w:sz w:val="24"/>
        </w:rPr>
        <w:t>我公司于</w:t>
      </w:r>
      <w:r>
        <w:rPr>
          <w:rFonts w:ascii="Times New Roman" w:hAnsi="Times New Roman"/>
          <w:sz w:val="24"/>
        </w:rPr>
        <w:t>2021</w:t>
      </w:r>
      <w:r>
        <w:rPr>
          <w:rFonts w:hint="eastAsia" w:ascii="Times New Roman" w:hAnsi="Times New Roman"/>
          <w:sz w:val="24"/>
        </w:rPr>
        <w:t>年</w:t>
      </w:r>
      <w:r>
        <w:rPr>
          <w:rFonts w:ascii="Times New Roman" w:hAnsi="Times New Roman"/>
          <w:sz w:val="24"/>
        </w:rPr>
        <w:t>7</w:t>
      </w:r>
      <w:r>
        <w:rPr>
          <w:rFonts w:hint="eastAsia" w:ascii="Times New Roman" w:hAnsi="Times New Roman"/>
          <w:sz w:val="24"/>
        </w:rPr>
        <w:t>月委托杭州环保科技咨询有限公司编制了《桐乡市诺派纺织科技有限公司年产5</w:t>
      </w:r>
      <w:r>
        <w:rPr>
          <w:rFonts w:ascii="Times New Roman" w:hAnsi="Times New Roman"/>
          <w:sz w:val="24"/>
        </w:rPr>
        <w:t>00万米功能性装饰面料建设项目环境影响报告书</w:t>
      </w:r>
      <w:r>
        <w:rPr>
          <w:rFonts w:hint="eastAsia" w:ascii="Times New Roman" w:hAnsi="Times New Roman"/>
          <w:sz w:val="24"/>
        </w:rPr>
        <w:t>》，于</w:t>
      </w:r>
      <w:r>
        <w:rPr>
          <w:rFonts w:ascii="Times New Roman" w:hAnsi="Times New Roman"/>
          <w:sz w:val="24"/>
        </w:rPr>
        <w:t>2021</w:t>
      </w:r>
      <w:r>
        <w:rPr>
          <w:rFonts w:hint="eastAsia" w:ascii="Times New Roman" w:hAnsi="Times New Roman"/>
          <w:sz w:val="24"/>
        </w:rPr>
        <w:t>年</w:t>
      </w:r>
      <w:r>
        <w:rPr>
          <w:rFonts w:ascii="Times New Roman" w:hAnsi="Times New Roman"/>
          <w:sz w:val="24"/>
        </w:rPr>
        <w:t>8</w:t>
      </w:r>
      <w:r>
        <w:rPr>
          <w:rFonts w:hint="eastAsia" w:ascii="Times New Roman" w:hAnsi="Times New Roman"/>
          <w:sz w:val="24"/>
        </w:rPr>
        <w:t>月</w:t>
      </w:r>
      <w:r>
        <w:rPr>
          <w:rFonts w:ascii="Times New Roman" w:hAnsi="Times New Roman"/>
          <w:sz w:val="24"/>
        </w:rPr>
        <w:t>5</w:t>
      </w:r>
      <w:r>
        <w:rPr>
          <w:rFonts w:hint="eastAsia" w:ascii="Times New Roman" w:hAnsi="Times New Roman"/>
          <w:sz w:val="24"/>
        </w:rPr>
        <w:t>日嘉兴市生态环境局桐乡分局以“嘉桐环建[</w:t>
      </w:r>
      <w:r>
        <w:rPr>
          <w:rFonts w:ascii="Times New Roman" w:hAnsi="Times New Roman"/>
          <w:sz w:val="24"/>
        </w:rPr>
        <w:t>2021]0158号</w:t>
      </w:r>
      <w:r>
        <w:rPr>
          <w:rFonts w:hint="eastAsia" w:ascii="Times New Roman" w:hAnsi="Times New Roman"/>
          <w:sz w:val="24"/>
        </w:rPr>
        <w:t>”对该项目通过环保审批。</w:t>
      </w:r>
    </w:p>
    <w:p>
      <w:pPr>
        <w:numPr>
          <w:ilvl w:val="0"/>
          <w:numId w:val="3"/>
        </w:numPr>
        <w:spacing w:line="360" w:lineRule="auto"/>
        <w:ind w:firstLine="480" w:firstLineChars="200"/>
        <w:rPr>
          <w:rFonts w:ascii="Times New Roman" w:hAnsi="Times New Roman"/>
          <w:sz w:val="24"/>
        </w:rPr>
      </w:pPr>
      <w:r>
        <w:rPr>
          <w:rFonts w:ascii="Times New Roman" w:hAnsi="Times New Roman"/>
          <w:sz w:val="24"/>
        </w:rPr>
        <w:t>设计与施工简况</w:t>
      </w:r>
    </w:p>
    <w:p>
      <w:pPr>
        <w:spacing w:line="360" w:lineRule="auto"/>
        <w:ind w:firstLine="480" w:firstLineChars="200"/>
        <w:rPr>
          <w:rFonts w:hint="eastAsia" w:ascii="Times New Roman" w:hAnsi="Times New Roman"/>
          <w:sz w:val="24"/>
        </w:rPr>
      </w:pPr>
      <w:r>
        <w:rPr>
          <w:rFonts w:hint="eastAsia" w:ascii="Times New Roman" w:hAnsi="Times New Roman"/>
          <w:sz w:val="24"/>
        </w:rPr>
        <w:t>目前本项目已实际投资</w:t>
      </w:r>
      <w:r>
        <w:rPr>
          <w:rFonts w:ascii="Times New Roman" w:hAnsi="Times New Roman"/>
          <w:sz w:val="24"/>
        </w:rPr>
        <w:t>2890</w:t>
      </w:r>
      <w:r>
        <w:rPr>
          <w:rFonts w:hint="eastAsia" w:ascii="Times New Roman" w:hAnsi="Times New Roman"/>
          <w:sz w:val="24"/>
        </w:rPr>
        <w:t>万元，其中环保投资</w:t>
      </w:r>
      <w:r>
        <w:rPr>
          <w:rFonts w:ascii="Times New Roman" w:hAnsi="Times New Roman"/>
          <w:sz w:val="24"/>
        </w:rPr>
        <w:t>142</w:t>
      </w:r>
      <w:r>
        <w:rPr>
          <w:rFonts w:hint="eastAsia" w:ascii="Times New Roman" w:hAnsi="Times New Roman"/>
          <w:sz w:val="24"/>
        </w:rPr>
        <w:t>万元，环保投资比例为</w:t>
      </w:r>
      <w:r>
        <w:rPr>
          <w:rFonts w:ascii="Times New Roman" w:hAnsi="Times New Roman"/>
          <w:sz w:val="24"/>
        </w:rPr>
        <w:t>4.91</w:t>
      </w:r>
      <w:r>
        <w:rPr>
          <w:rFonts w:hint="eastAsia" w:ascii="Times New Roman" w:hAnsi="Times New Roman"/>
          <w:sz w:val="24"/>
        </w:rPr>
        <w:t>%，购置涂层机2台、复合机1台、空压机1台等设备。目前公司整经机、剑杆机、转移印花设备（含印刷机、转移印花机）、烫金机、打卷机、压花机暂未购置，实际产能为年产500万米功能性装饰面料（其中涂层布332万米/年，复合布168万米/年，企业原计划布料经烫金、转移印花后再进行复合，目前企业实际外购布料进厂后直接进行复合）。</w:t>
      </w:r>
    </w:p>
    <w:p>
      <w:pPr>
        <w:spacing w:line="360" w:lineRule="auto"/>
        <w:ind w:firstLine="480" w:firstLineChars="200"/>
        <w:rPr>
          <w:rFonts w:ascii="Times New Roman" w:hAnsi="Times New Roman"/>
          <w:sz w:val="24"/>
        </w:rPr>
      </w:pPr>
      <w:r>
        <w:rPr>
          <w:rFonts w:ascii="Times New Roman" w:hAnsi="Times New Roman"/>
          <w:sz w:val="24"/>
        </w:rPr>
        <w:t>公司按照相关规范对治理设施进行了设计和安装，</w:t>
      </w:r>
      <w:r>
        <w:rPr>
          <w:rFonts w:hint="eastAsia" w:ascii="Times New Roman" w:hAnsi="Times New Roman"/>
          <w:sz w:val="24"/>
        </w:rPr>
        <w:t>安装废水处理设施费用4</w:t>
      </w:r>
      <w:r>
        <w:rPr>
          <w:rFonts w:ascii="Times New Roman" w:hAnsi="Times New Roman"/>
          <w:sz w:val="24"/>
        </w:rPr>
        <w:t>7万</w:t>
      </w:r>
      <w:r>
        <w:rPr>
          <w:rFonts w:hint="eastAsia" w:ascii="Times New Roman" w:hAnsi="Times New Roman"/>
          <w:sz w:val="24"/>
        </w:rPr>
        <w:t>，废气处理设施费用</w:t>
      </w:r>
      <w:r>
        <w:rPr>
          <w:rFonts w:ascii="Times New Roman" w:hAnsi="Times New Roman"/>
          <w:sz w:val="24"/>
        </w:rPr>
        <w:t>77</w:t>
      </w:r>
      <w:r>
        <w:rPr>
          <w:rFonts w:hint="eastAsia" w:ascii="Times New Roman" w:hAnsi="Times New Roman"/>
          <w:sz w:val="24"/>
        </w:rPr>
        <w:t>万元，</w:t>
      </w:r>
      <w:r>
        <w:rPr>
          <w:rFonts w:ascii="Times New Roman" w:hAnsi="Times New Roman"/>
          <w:sz w:val="24"/>
        </w:rPr>
        <w:t>噪声环保投资3万元，</w:t>
      </w:r>
      <w:r>
        <w:rPr>
          <w:rFonts w:hint="eastAsia" w:ascii="Times New Roman" w:hAnsi="Times New Roman"/>
          <w:sz w:val="24"/>
        </w:rPr>
        <w:t>一般固废仓库建设、</w:t>
      </w:r>
      <w:r>
        <w:rPr>
          <w:rFonts w:ascii="Times New Roman" w:hAnsi="Times New Roman"/>
          <w:sz w:val="24"/>
        </w:rPr>
        <w:t>固废处置费用10万元</w:t>
      </w:r>
      <w:r>
        <w:rPr>
          <w:rFonts w:hint="eastAsia" w:ascii="Times New Roman" w:hAnsi="Times New Roman"/>
          <w:sz w:val="24"/>
        </w:rPr>
        <w:t>，</w:t>
      </w:r>
      <w:r>
        <w:rPr>
          <w:rFonts w:ascii="Times New Roman" w:hAnsi="Times New Roman"/>
          <w:sz w:val="24"/>
        </w:rPr>
        <w:t>风险防治费用</w:t>
      </w:r>
      <w:r>
        <w:rPr>
          <w:rFonts w:hint="eastAsia" w:ascii="Times New Roman" w:hAnsi="Times New Roman"/>
          <w:sz w:val="24"/>
        </w:rPr>
        <w:t>5万</w:t>
      </w:r>
      <w:r>
        <w:rPr>
          <w:rFonts w:ascii="Times New Roman" w:hAnsi="Times New Roman"/>
          <w:sz w:val="24"/>
        </w:rPr>
        <w:t>。项目已基本按要求落实了环境影响报告</w:t>
      </w:r>
      <w:r>
        <w:rPr>
          <w:rFonts w:hint="eastAsia" w:ascii="Times New Roman" w:hAnsi="Times New Roman"/>
          <w:sz w:val="24"/>
        </w:rPr>
        <w:t>书</w:t>
      </w:r>
      <w:r>
        <w:rPr>
          <w:rFonts w:ascii="Times New Roman" w:hAnsi="Times New Roman"/>
          <w:sz w:val="24"/>
        </w:rPr>
        <w:t>及其审批部门审批决定中提出的环境保护对策措施。</w:t>
      </w:r>
    </w:p>
    <w:p>
      <w:pPr>
        <w:numPr>
          <w:ilvl w:val="0"/>
          <w:numId w:val="3"/>
        </w:numPr>
        <w:spacing w:line="360" w:lineRule="auto"/>
        <w:ind w:firstLine="480" w:firstLineChars="200"/>
        <w:rPr>
          <w:rFonts w:ascii="Times New Roman" w:hAnsi="Times New Roman"/>
          <w:sz w:val="24"/>
        </w:rPr>
      </w:pPr>
      <w:r>
        <w:rPr>
          <w:rFonts w:ascii="Times New Roman" w:hAnsi="Times New Roman"/>
          <w:sz w:val="24"/>
        </w:rPr>
        <w:t>验收过程简介</w:t>
      </w:r>
    </w:p>
    <w:p>
      <w:pPr>
        <w:spacing w:line="360" w:lineRule="auto"/>
        <w:ind w:firstLine="480" w:firstLineChars="200"/>
        <w:rPr>
          <w:rFonts w:ascii="Times New Roman" w:hAnsi="Times New Roman"/>
          <w:sz w:val="24"/>
        </w:rPr>
      </w:pPr>
      <w:r>
        <w:rPr>
          <w:rFonts w:hint="eastAsia" w:ascii="Times New Roman" w:hAnsi="Times New Roman"/>
          <w:sz w:val="24"/>
        </w:rPr>
        <w:t>本项目开工时间为20</w:t>
      </w:r>
      <w:r>
        <w:rPr>
          <w:rFonts w:ascii="Times New Roman" w:hAnsi="Times New Roman"/>
          <w:sz w:val="24"/>
        </w:rPr>
        <w:t>21</w:t>
      </w:r>
      <w:r>
        <w:rPr>
          <w:rFonts w:hint="eastAsia" w:ascii="Times New Roman" w:hAnsi="Times New Roman"/>
          <w:sz w:val="24"/>
        </w:rPr>
        <w:t>年</w:t>
      </w:r>
      <w:r>
        <w:rPr>
          <w:rFonts w:ascii="Times New Roman" w:hAnsi="Times New Roman"/>
          <w:sz w:val="24"/>
        </w:rPr>
        <w:t>9</w:t>
      </w:r>
      <w:r>
        <w:rPr>
          <w:rFonts w:hint="eastAsia" w:ascii="Times New Roman" w:hAnsi="Times New Roman"/>
          <w:sz w:val="24"/>
        </w:rPr>
        <w:t>月，于</w:t>
      </w:r>
      <w:r>
        <w:rPr>
          <w:rFonts w:ascii="Times New Roman" w:hAnsi="Times New Roman"/>
          <w:sz w:val="24"/>
        </w:rPr>
        <w:t>2022</w:t>
      </w:r>
      <w:r>
        <w:rPr>
          <w:rFonts w:hint="eastAsia" w:ascii="Times New Roman" w:hAnsi="Times New Roman"/>
          <w:sz w:val="24"/>
        </w:rPr>
        <w:t>年</w:t>
      </w:r>
      <w:r>
        <w:rPr>
          <w:rFonts w:ascii="Times New Roman" w:hAnsi="Times New Roman"/>
          <w:sz w:val="24"/>
        </w:rPr>
        <w:t>7</w:t>
      </w:r>
      <w:r>
        <w:rPr>
          <w:rFonts w:hint="eastAsia" w:ascii="Times New Roman" w:hAnsi="Times New Roman"/>
          <w:sz w:val="24"/>
        </w:rPr>
        <w:t>月完成对主体工程及配套环保设备工程的建设并投入试运行，于</w:t>
      </w:r>
      <w:r>
        <w:rPr>
          <w:rFonts w:ascii="Times New Roman" w:hAnsi="Times New Roman"/>
          <w:sz w:val="24"/>
        </w:rPr>
        <w:t>2022</w:t>
      </w:r>
      <w:r>
        <w:rPr>
          <w:rFonts w:hint="eastAsia" w:ascii="Times New Roman" w:hAnsi="Times New Roman"/>
          <w:sz w:val="24"/>
        </w:rPr>
        <w:t>年</w:t>
      </w:r>
      <w:r>
        <w:rPr>
          <w:rFonts w:ascii="Times New Roman" w:hAnsi="Times New Roman"/>
          <w:sz w:val="24"/>
        </w:rPr>
        <w:t>8</w:t>
      </w:r>
      <w:r>
        <w:rPr>
          <w:rFonts w:hint="eastAsia" w:ascii="Times New Roman" w:hAnsi="Times New Roman"/>
          <w:sz w:val="24"/>
        </w:rPr>
        <w:t>月正式投入试生产。目前本项目环保手续齐全，项目已实施部分主要生产设施和环保设施运行正常，无重大变动，已具备环境保护竣工验收条件，故公司决定按规定程序对已实施工程启动建设项目环境保护阶段性竣工验收工作。</w:t>
      </w:r>
      <w:r>
        <w:rPr>
          <w:rFonts w:ascii="Times New Roman" w:hAnsi="Times New Roman"/>
          <w:sz w:val="24"/>
        </w:rPr>
        <w:t>其中废水、废气、噪声委托</w:t>
      </w:r>
      <w:r>
        <w:rPr>
          <w:rFonts w:hint="eastAsia" w:ascii="Times New Roman" w:hAnsi="Times New Roman"/>
          <w:sz w:val="24"/>
        </w:rPr>
        <w:t>浙江泓远检测科技有限公司</w:t>
      </w:r>
      <w:r>
        <w:rPr>
          <w:rFonts w:ascii="Times New Roman" w:hAnsi="Times New Roman"/>
          <w:sz w:val="24"/>
        </w:rPr>
        <w:t>进行了验收监测，验收结论如下：</w:t>
      </w:r>
    </w:p>
    <w:p>
      <w:pPr>
        <w:spacing w:line="360" w:lineRule="auto"/>
        <w:ind w:firstLine="480" w:firstLineChars="200"/>
        <w:rPr>
          <w:rFonts w:ascii="Times New Roman" w:hAnsi="Times New Roman"/>
          <w:sz w:val="24"/>
        </w:rPr>
      </w:pPr>
      <w:r>
        <w:rPr>
          <w:rFonts w:ascii="Times New Roman" w:hAnsi="Times New Roman"/>
          <w:sz w:val="24"/>
        </w:rPr>
        <w:t>经检查，项目环保手续基本齐全，基本落实了环评和批复的有关要求，在设计、施工和运行阶段均采取了相应措施，各主要污染排放指标能达到相应标准的要求。验收组认为该项目已经具备环境保护竣工验收条件，经整改完善后，同意通过验收</w:t>
      </w:r>
      <w:r>
        <w:rPr>
          <w:rFonts w:hint="eastAsia" w:ascii="Times New Roman" w:hAnsi="Times New Roman"/>
          <w:sz w:val="24"/>
        </w:rPr>
        <w:t>。</w:t>
      </w:r>
    </w:p>
    <w:p>
      <w:pPr>
        <w:numPr>
          <w:ilvl w:val="0"/>
          <w:numId w:val="4"/>
        </w:numPr>
        <w:spacing w:line="360" w:lineRule="auto"/>
        <w:rPr>
          <w:rFonts w:ascii="Times New Roman" w:hAnsi="Times New Roman"/>
          <w:sz w:val="24"/>
        </w:rPr>
      </w:pPr>
      <w:r>
        <w:rPr>
          <w:rFonts w:ascii="Times New Roman" w:hAnsi="Times New Roman"/>
          <w:sz w:val="24"/>
        </w:rPr>
        <w:t>其他环境保护措施的实施情况</w:t>
      </w:r>
    </w:p>
    <w:p>
      <w:pPr>
        <w:spacing w:line="360" w:lineRule="auto"/>
        <w:ind w:firstLine="480" w:firstLineChars="200"/>
        <w:rPr>
          <w:rFonts w:ascii="Times New Roman" w:hAnsi="Times New Roman"/>
          <w:sz w:val="24"/>
        </w:rPr>
      </w:pPr>
      <w:r>
        <w:rPr>
          <w:rFonts w:ascii="Times New Roman" w:hAnsi="Times New Roman"/>
          <w:sz w:val="24"/>
        </w:rPr>
        <w:t>1、环保组织机构及规章制度</w:t>
      </w:r>
    </w:p>
    <w:p>
      <w:pPr>
        <w:spacing w:line="360" w:lineRule="auto"/>
        <w:ind w:firstLine="480" w:firstLineChars="200"/>
        <w:rPr>
          <w:rFonts w:ascii="Times New Roman" w:hAnsi="Times New Roman"/>
          <w:sz w:val="24"/>
        </w:rPr>
      </w:pPr>
      <w:r>
        <w:rPr>
          <w:rFonts w:hint="eastAsia" w:ascii="Times New Roman" w:hAnsi="Times New Roman"/>
          <w:sz w:val="24"/>
        </w:rPr>
        <w:t>嘉兴茂兴纸制品有限公司</w:t>
      </w:r>
      <w:r>
        <w:rPr>
          <w:rFonts w:ascii="Times New Roman" w:hAnsi="Times New Roman"/>
          <w:sz w:val="24"/>
        </w:rPr>
        <w:t>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pPr>
        <w:spacing w:line="360" w:lineRule="auto"/>
        <w:ind w:firstLine="480" w:firstLineChars="200"/>
        <w:rPr>
          <w:rFonts w:ascii="Times New Roman" w:hAnsi="Times New Roman"/>
          <w:sz w:val="24"/>
        </w:rPr>
      </w:pPr>
      <w:r>
        <w:rPr>
          <w:rFonts w:ascii="Times New Roman" w:hAnsi="Times New Roman"/>
          <w:sz w:val="24"/>
        </w:rPr>
        <w:t>2、环境风险防范措施</w:t>
      </w:r>
    </w:p>
    <w:p>
      <w:pPr>
        <w:spacing w:line="360" w:lineRule="auto"/>
        <w:ind w:firstLine="480" w:firstLineChars="200"/>
        <w:rPr>
          <w:rFonts w:ascii="Times New Roman" w:hAnsi="Times New Roman"/>
          <w:sz w:val="24"/>
        </w:rPr>
      </w:pPr>
      <w:r>
        <w:rPr>
          <w:rFonts w:ascii="Times New Roman" w:hAnsi="Times New Roman"/>
          <w:sz w:val="24"/>
        </w:rPr>
        <w:t>选用先进的低噪设备，合理布局声源的位置，加强设备维护，加强减震降噪等一系列消音措施，减少生产噪音对周围环境的影响。</w:t>
      </w:r>
    </w:p>
    <w:p>
      <w:pPr>
        <w:spacing w:line="360" w:lineRule="auto"/>
        <w:ind w:firstLine="480" w:firstLineChars="200"/>
        <w:rPr>
          <w:rFonts w:ascii="Times New Roman" w:hAnsi="Times New Roman"/>
          <w:sz w:val="24"/>
        </w:rPr>
      </w:pPr>
      <w:r>
        <w:rPr>
          <w:rFonts w:ascii="Times New Roman" w:hAnsi="Times New Roman"/>
          <w:sz w:val="24"/>
        </w:rPr>
        <w:t>3、整改工作情况</w:t>
      </w:r>
    </w:p>
    <w:p>
      <w:pPr>
        <w:spacing w:line="360" w:lineRule="auto"/>
        <w:ind w:firstLine="480" w:firstLineChars="200"/>
        <w:jc w:val="left"/>
        <w:rPr>
          <w:rFonts w:ascii="Times New Roman" w:hAnsi="Times New Roman"/>
          <w:sz w:val="24"/>
        </w:rPr>
      </w:pPr>
      <w:r>
        <w:rPr>
          <w:rFonts w:ascii="Times New Roman" w:hAnsi="Times New Roman"/>
          <w:sz w:val="24"/>
        </w:rPr>
        <w:t>（1）经核查，</w:t>
      </w:r>
      <w:r>
        <w:rPr>
          <w:rFonts w:hint="eastAsia" w:ascii="Times New Roman" w:hAnsi="Times New Roman"/>
          <w:sz w:val="24"/>
        </w:rPr>
        <w:t>嘉兴茂兴纸制品有限公司年产</w:t>
      </w:r>
      <w:r>
        <w:rPr>
          <w:rFonts w:ascii="Times New Roman" w:hAnsi="Times New Roman"/>
          <w:sz w:val="24"/>
        </w:rPr>
        <w:t>500万米功能性装饰面料建设项目在实施过程中，本项目的性质、规模、地点、生产工艺和环境保护措施五个方面均未构成重大变动。</w:t>
      </w:r>
    </w:p>
    <w:p>
      <w:pPr>
        <w:spacing w:line="360" w:lineRule="auto"/>
        <w:ind w:firstLine="480" w:firstLineChars="200"/>
        <w:rPr>
          <w:rFonts w:ascii="Times New Roman" w:hAnsi="Times New Roman"/>
          <w:sz w:val="24"/>
        </w:rPr>
      </w:pPr>
      <w:r>
        <w:rPr>
          <w:rFonts w:ascii="Times New Roman" w:hAnsi="Times New Roman"/>
          <w:sz w:val="24"/>
        </w:rPr>
        <w:t>（2）竣工后的整改工作</w:t>
      </w:r>
    </w:p>
    <w:p>
      <w:pPr>
        <w:spacing w:line="360" w:lineRule="auto"/>
        <w:ind w:firstLine="480" w:firstLineChars="200"/>
        <w:rPr>
          <w:rFonts w:ascii="Times New Roman" w:hAnsi="Times New Roman"/>
          <w:sz w:val="24"/>
        </w:rPr>
      </w:pPr>
      <w:r>
        <w:rPr>
          <w:rFonts w:ascii="Times New Roman" w:hAnsi="Times New Roman"/>
          <w:sz w:val="24"/>
        </w:rPr>
        <w:t>加强对厂区生产与厂区环境的管理，保证设施的良好运作，达到预期的效果。</w:t>
      </w:r>
    </w:p>
    <w:p>
      <w:pPr>
        <w:spacing w:line="360" w:lineRule="auto"/>
        <w:ind w:firstLine="480" w:firstLineChars="200"/>
        <w:jc w:val="right"/>
        <w:rPr>
          <w:rFonts w:ascii="Times New Roman" w:hAnsi="Times New Roman"/>
          <w:sz w:val="24"/>
        </w:rPr>
      </w:pPr>
      <w:r>
        <w:rPr>
          <w:rFonts w:hint="eastAsia" w:ascii="Times New Roman" w:hAnsi="Times New Roman"/>
          <w:sz w:val="24"/>
        </w:rPr>
        <w:t>桐乡市诺派纺织科技有限公司</w:t>
      </w:r>
    </w:p>
    <w:p>
      <w:pPr>
        <w:spacing w:line="360" w:lineRule="auto"/>
        <w:ind w:firstLine="480" w:firstLineChars="200"/>
        <w:jc w:val="right"/>
        <w:rPr>
          <w:rFonts w:hint="eastAsia" w:ascii="Times New Roman" w:hAnsi="Times New Roman"/>
          <w:sz w:val="24"/>
        </w:rPr>
        <w:sectPr>
          <w:pgSz w:w="11906" w:h="16838"/>
          <w:pgMar w:top="1531" w:right="1701" w:bottom="1531" w:left="1701" w:header="851" w:footer="992" w:gutter="0"/>
          <w:cols w:space="425" w:num="1"/>
          <w:docGrid w:type="lines" w:linePitch="312" w:charSpace="0"/>
        </w:sectPr>
      </w:pPr>
      <w:r>
        <w:rPr>
          <w:rFonts w:ascii="Times New Roman" w:hAnsi="Times New Roman"/>
          <w:sz w:val="24"/>
        </w:rPr>
        <w:t>2022年12月7日</w:t>
      </w:r>
    </w:p>
    <w:p>
      <w:pPr>
        <w:pStyle w:val="35"/>
        <w:spacing w:before="66" w:after="33"/>
        <w:jc w:val="center"/>
        <w:rPr>
          <w:rFonts w:hint="eastAsia"/>
          <w:lang w:val="en-US" w:eastAsia="zh-CN"/>
        </w:rPr>
      </w:pPr>
    </w:p>
    <w:sectPr>
      <w:headerReference r:id="rId24" w:type="default"/>
      <w:pgSz w:w="11906" w:h="16838"/>
      <w:pgMar w:top="1418" w:right="1701" w:bottom="1418" w:left="1701" w:header="851" w:footer="992" w:gutter="0"/>
      <w:pgNumType w:fmt="numberInDash"/>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78154088"/>
      <w:docPartObj>
        <w:docPartGallery w:val="AutoText"/>
      </w:docPartObj>
    </w:sdtPr>
    <w:sdtEndPr>
      <w:rPr>
        <w:rFonts w:ascii="Times New Roman" w:hAnsi="Times New Roman" w:cs="Times New Roman"/>
        <w:sz w:val="18"/>
        <w:szCs w:val="18"/>
      </w:rPr>
    </w:sdtEndPr>
    <w:sdtContent>
      <w:p>
        <w:pPr>
          <w:pStyle w:val="11"/>
          <w:ind w:firstLine="0" w:firstLineChars="0"/>
          <w:jc w:val="center"/>
          <w:rPr>
            <w:rFonts w:ascii="Times New Roman" w:hAnsi="Times New Roman" w:cs="Times New Roman"/>
            <w:sz w:val="18"/>
            <w:szCs w:val="18"/>
          </w:rPr>
        </w:pPr>
        <w:r>
          <w:rPr>
            <w:rFonts w:ascii="Times New Roman" w:hAnsi="Times New Roman" w:cs="Times New Roman"/>
            <w:sz w:val="18"/>
            <w:szCs w:val="18"/>
          </w:rPr>
          <w:fldChar w:fldCharType="begin"/>
        </w:r>
        <w:r>
          <w:rPr>
            <w:rFonts w:ascii="Times New Roman" w:hAnsi="Times New Roman" w:cs="Times New Roman"/>
            <w:sz w:val="18"/>
            <w:szCs w:val="18"/>
          </w:rPr>
          <w:instrText xml:space="preserve">PAGE   \* MERGEFORMAT</w:instrText>
        </w:r>
        <w:r>
          <w:rPr>
            <w:rFonts w:ascii="Times New Roman" w:hAnsi="Times New Roman" w:cs="Times New Roman"/>
            <w:sz w:val="18"/>
            <w:szCs w:val="18"/>
          </w:rPr>
          <w:fldChar w:fldCharType="separate"/>
        </w:r>
        <w:r>
          <w:rPr>
            <w:rFonts w:ascii="Times New Roman" w:hAnsi="Times New Roman" w:cs="Times New Roman"/>
            <w:sz w:val="18"/>
            <w:szCs w:val="18"/>
            <w:lang w:val="zh-CN"/>
          </w:rPr>
          <w:t>-</w:t>
        </w:r>
        <w:r>
          <w:rPr>
            <w:rFonts w:ascii="Times New Roman" w:hAnsi="Times New Roman" w:cs="Times New Roman"/>
            <w:sz w:val="18"/>
            <w:szCs w:val="18"/>
          </w:rPr>
          <w:t xml:space="preserve"> 7 -</w:t>
        </w:r>
        <w:r>
          <w:rPr>
            <w:rFonts w:ascii="Times New Roman" w:hAnsi="Times New Roman" w:cs="Times New Roman"/>
            <w:sz w:val="18"/>
            <w:szCs w:val="18"/>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79194240"/>
      <w:docPartObj>
        <w:docPartGallery w:val="AutoText"/>
      </w:docPartObj>
    </w:sdtPr>
    <w:sdtEndPr>
      <w:rPr>
        <w:rFonts w:ascii="Times New Roman" w:hAnsi="Times New Roman" w:cs="Times New Roman"/>
        <w:sz w:val="18"/>
        <w:szCs w:val="18"/>
      </w:rPr>
    </w:sdtEndPr>
    <w:sdtContent>
      <w:p>
        <w:pPr>
          <w:pStyle w:val="11"/>
          <w:ind w:firstLine="0" w:firstLineChars="0"/>
          <w:jc w:val="center"/>
          <w:rPr>
            <w:rFonts w:ascii="Times New Roman" w:hAnsi="Times New Roman" w:cs="Times New Roman"/>
            <w:sz w:val="18"/>
            <w:szCs w:val="18"/>
          </w:rPr>
        </w:pPr>
        <w:r>
          <w:rPr>
            <w:rFonts w:ascii="Times New Roman" w:hAnsi="Times New Roman" w:cs="Times New Roman"/>
            <w:sz w:val="18"/>
            <w:szCs w:val="18"/>
          </w:rPr>
          <w:fldChar w:fldCharType="begin"/>
        </w:r>
        <w:r>
          <w:rPr>
            <w:rFonts w:ascii="Times New Roman" w:hAnsi="Times New Roman" w:cs="Times New Roman"/>
            <w:sz w:val="18"/>
            <w:szCs w:val="18"/>
          </w:rPr>
          <w:instrText xml:space="preserve">PAGE   \* MERGEFORMAT</w:instrText>
        </w:r>
        <w:r>
          <w:rPr>
            <w:rFonts w:ascii="Times New Roman" w:hAnsi="Times New Roman" w:cs="Times New Roman"/>
            <w:sz w:val="18"/>
            <w:szCs w:val="18"/>
          </w:rPr>
          <w:fldChar w:fldCharType="separate"/>
        </w:r>
        <w:r>
          <w:rPr>
            <w:rFonts w:ascii="Times New Roman" w:hAnsi="Times New Roman" w:cs="Times New Roman"/>
            <w:sz w:val="18"/>
            <w:szCs w:val="18"/>
            <w:lang w:val="zh-CN"/>
          </w:rPr>
          <w:t>-</w:t>
        </w:r>
        <w:r>
          <w:rPr>
            <w:rFonts w:ascii="Times New Roman" w:hAnsi="Times New Roman" w:cs="Times New Roman"/>
            <w:sz w:val="18"/>
            <w:szCs w:val="18"/>
          </w:rPr>
          <w:t xml:space="preserve"> 49 -</w:t>
        </w:r>
        <w:r>
          <w:rPr>
            <w:rFonts w:ascii="Times New Roman" w:hAnsi="Times New Roman" w:cs="Times New Roman"/>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5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5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5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5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62267820"/>
      <w:docPartObj>
        <w:docPartGallery w:val="AutoText"/>
      </w:docPartObj>
    </w:sdtPr>
    <w:sdtContent>
      <w:p>
        <w:pPr>
          <w:pStyle w:val="11"/>
          <w:ind w:firstLine="0" w:firstLineChars="0"/>
          <w:jc w:val="center"/>
        </w:pPr>
        <w:r>
          <w:rPr>
            <w:rFonts w:ascii="Times New Roman" w:hAnsi="Times New Roman" w:cs="Times New Roman"/>
            <w:sz w:val="18"/>
            <w:szCs w:val="18"/>
          </w:rPr>
          <w:fldChar w:fldCharType="begin"/>
        </w:r>
        <w:r>
          <w:rPr>
            <w:rFonts w:ascii="Times New Roman" w:hAnsi="Times New Roman" w:cs="Times New Roman"/>
            <w:sz w:val="18"/>
            <w:szCs w:val="18"/>
          </w:rPr>
          <w:instrText xml:space="preserve">PAGE   \* MERGEFORMAT</w:instrText>
        </w:r>
        <w:r>
          <w:rPr>
            <w:rFonts w:ascii="Times New Roman" w:hAnsi="Times New Roman" w:cs="Times New Roman"/>
            <w:sz w:val="18"/>
            <w:szCs w:val="18"/>
          </w:rPr>
          <w:fldChar w:fldCharType="separate"/>
        </w:r>
        <w:r>
          <w:rPr>
            <w:rFonts w:ascii="Times New Roman" w:hAnsi="Times New Roman" w:cs="Times New Roman"/>
            <w:sz w:val="18"/>
            <w:szCs w:val="18"/>
            <w:lang w:val="zh-CN"/>
          </w:rPr>
          <w:t>-</w:t>
        </w:r>
        <w:r>
          <w:rPr>
            <w:rFonts w:ascii="Times New Roman" w:hAnsi="Times New Roman" w:cs="Times New Roman"/>
            <w:sz w:val="18"/>
            <w:szCs w:val="18"/>
          </w:rPr>
          <w:t xml:space="preserve"> 47 -</w:t>
        </w:r>
        <w:r>
          <w:rPr>
            <w:rFonts w:ascii="Times New Roman" w:hAnsi="Times New Roman" w:cs="Times New Roman"/>
            <w:sz w:val="18"/>
            <w:szCs w:val="18"/>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34854239"/>
    </w:sdtPr>
    <w:sdtEndPr>
      <w:rPr>
        <w:rFonts w:ascii="Times New Roman" w:hAnsi="Times New Roman" w:cs="Times New Roman"/>
        <w:sz w:val="18"/>
        <w:szCs w:val="18"/>
      </w:rPr>
    </w:sdtEndPr>
    <w:sdtContent>
      <w:p>
        <w:pPr>
          <w:pStyle w:val="11"/>
          <w:ind w:firstLine="0" w:firstLineChars="0"/>
          <w:jc w:val="center"/>
          <w:rPr>
            <w:rFonts w:ascii="Times New Roman" w:hAnsi="Times New Roman" w:cs="Times New Roman"/>
            <w:sz w:val="18"/>
            <w:szCs w:val="18"/>
          </w:rPr>
        </w:pPr>
        <w:r>
          <w:rPr>
            <w:rFonts w:ascii="Times New Roman" w:hAnsi="Times New Roman" w:cs="Times New Roman"/>
            <w:sz w:val="18"/>
            <w:szCs w:val="18"/>
          </w:rPr>
          <w:fldChar w:fldCharType="begin"/>
        </w:r>
        <w:r>
          <w:rPr>
            <w:rFonts w:ascii="Times New Roman" w:hAnsi="Times New Roman" w:cs="Times New Roman"/>
            <w:sz w:val="18"/>
            <w:szCs w:val="18"/>
          </w:rPr>
          <w:instrText xml:space="preserve">PAGE   \* MERGEFORMAT</w:instrText>
        </w:r>
        <w:r>
          <w:rPr>
            <w:rFonts w:ascii="Times New Roman" w:hAnsi="Times New Roman" w:cs="Times New Roman"/>
            <w:sz w:val="18"/>
            <w:szCs w:val="18"/>
          </w:rPr>
          <w:fldChar w:fldCharType="separate"/>
        </w:r>
        <w:r>
          <w:rPr>
            <w:rFonts w:ascii="Times New Roman" w:hAnsi="Times New Roman" w:cs="Times New Roman"/>
            <w:sz w:val="18"/>
            <w:szCs w:val="18"/>
            <w:lang w:val="zh-CN"/>
          </w:rPr>
          <w:t>I</w:t>
        </w:r>
        <w:r>
          <w:rPr>
            <w:rFonts w:ascii="Times New Roman" w:hAnsi="Times New Roman" w:cs="Times New Roman"/>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ind w:firstLine="0" w:firstLineChars="0"/>
      <w:jc w:val="center"/>
      <w:rPr>
        <w:rFonts w:cs="Times New Roman"/>
      </w:rPr>
    </w:pPr>
    <w:r>
      <w:rPr>
        <w:rFonts w:hint="eastAsia" w:cs="Times New Roman"/>
        <w:sz w:val="18"/>
        <w:szCs w:val="18"/>
      </w:rPr>
      <w:t>建设项目竣工环境保护验收监测报告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spacing w:line="240" w:lineRule="auto"/>
      <w:ind w:firstLine="0" w:firstLineChars="0"/>
      <w:jc w:val="center"/>
    </w:pPr>
    <w:r>
      <w:rPr>
        <w:rFonts w:hint="eastAsia"/>
        <w:szCs w:val="18"/>
      </w:rPr>
      <w:t>桐乡市诺派纺织科技有限公司年产500万米功能性装饰面料建设项目竣工环境保护阶段性验收监测报告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spacing w:line="240" w:lineRule="auto"/>
      <w:ind w:firstLine="0" w:firstLineChars="0"/>
      <w:jc w:val="center"/>
    </w:pPr>
    <w:r>
      <w:rPr>
        <w:rFonts w:hint="eastAsia"/>
        <w:szCs w:val="18"/>
      </w:rPr>
      <w:t>桐乡市诺派纺织科技有限公司年产500万米功能性装饰面料建设项目竣工环境保护阶段性验收监测报告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spacing w:line="240" w:lineRule="auto"/>
      <w:ind w:firstLine="0" w:firstLineChars="0"/>
      <w:jc w:val="center"/>
    </w:pPr>
    <w:r>
      <w:rPr>
        <w:rFonts w:hint="eastAsia"/>
        <w:szCs w:val="18"/>
      </w:rPr>
      <w:t>桐乡市诺派纺织科技有限公司年产500万米功能性装饰面料建设项目竣工环境保护阶段性验收监测报告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line="240" w:lineRule="auto"/>
      <w:ind w:firstLine="0" w:firstLineChars="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B4EEAD6"/>
    <w:multiLevelType w:val="singleLevel"/>
    <w:tmpl w:val="5B4EEAD6"/>
    <w:lvl w:ilvl="0" w:tentative="0">
      <w:start w:val="1"/>
      <w:numFmt w:val="chineseCounting"/>
      <w:suff w:val="nothing"/>
      <w:lvlText w:val="%1、"/>
      <w:lvlJc w:val="left"/>
      <w:rPr>
        <w:rFonts w:cs="Times New Roman"/>
      </w:rPr>
    </w:lvl>
  </w:abstractNum>
  <w:abstractNum w:abstractNumId="1">
    <w:nsid w:val="5B4EEC8E"/>
    <w:multiLevelType w:val="singleLevel"/>
    <w:tmpl w:val="5B4EEC8E"/>
    <w:lvl w:ilvl="0" w:tentative="0">
      <w:start w:val="1"/>
      <w:numFmt w:val="decimal"/>
      <w:suff w:val="nothing"/>
      <w:lvlText w:val="（%1）"/>
      <w:lvlJc w:val="left"/>
      <w:rPr>
        <w:rFonts w:cs="Times New Roman"/>
      </w:rPr>
    </w:lvl>
  </w:abstractNum>
  <w:abstractNum w:abstractNumId="2">
    <w:nsid w:val="5B4EF69E"/>
    <w:multiLevelType w:val="singleLevel"/>
    <w:tmpl w:val="5B4EF69E"/>
    <w:lvl w:ilvl="0" w:tentative="0">
      <w:start w:val="2"/>
      <w:numFmt w:val="chineseCounting"/>
      <w:suff w:val="nothing"/>
      <w:lvlText w:val="%1、"/>
      <w:lvlJc w:val="left"/>
      <w:rPr>
        <w:rFonts w:cs="Times New Roman"/>
      </w:rPr>
    </w:lvl>
  </w:abstractNum>
  <w:abstractNum w:abstractNumId="3">
    <w:nsid w:val="76471468"/>
    <w:multiLevelType w:val="singleLevel"/>
    <w:tmpl w:val="76471468"/>
    <w:lvl w:ilvl="0" w:tentative="0">
      <w:start w:val="1"/>
      <w:numFmt w:val="decimal"/>
      <w:suff w:val="space"/>
      <w:lvlText w:val="%1."/>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HorizontalSpacing w:val="120"/>
  <w:drawingGridVerticalSpacing w:val="16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c1ODZjY2Y4N2JiYTFmYzZmODFiNjEwMTEwOTJiZWQifQ=="/>
  </w:docVars>
  <w:rsids>
    <w:rsidRoot w:val="00F42F5F"/>
    <w:rsid w:val="00000642"/>
    <w:rsid w:val="0000154C"/>
    <w:rsid w:val="000115B5"/>
    <w:rsid w:val="00013311"/>
    <w:rsid w:val="00014C4E"/>
    <w:rsid w:val="000167CD"/>
    <w:rsid w:val="00016EF8"/>
    <w:rsid w:val="00017D03"/>
    <w:rsid w:val="0002022E"/>
    <w:rsid w:val="0002162F"/>
    <w:rsid w:val="00022108"/>
    <w:rsid w:val="000224B0"/>
    <w:rsid w:val="0002596E"/>
    <w:rsid w:val="00027214"/>
    <w:rsid w:val="00027967"/>
    <w:rsid w:val="00032216"/>
    <w:rsid w:val="00032BF5"/>
    <w:rsid w:val="00032C1F"/>
    <w:rsid w:val="00033AE1"/>
    <w:rsid w:val="00033C89"/>
    <w:rsid w:val="0003548D"/>
    <w:rsid w:val="00042448"/>
    <w:rsid w:val="000434CC"/>
    <w:rsid w:val="000453B7"/>
    <w:rsid w:val="000476BD"/>
    <w:rsid w:val="0005658F"/>
    <w:rsid w:val="000610E0"/>
    <w:rsid w:val="0006354F"/>
    <w:rsid w:val="000652D7"/>
    <w:rsid w:val="00065F89"/>
    <w:rsid w:val="00067ACD"/>
    <w:rsid w:val="000716C9"/>
    <w:rsid w:val="00071B10"/>
    <w:rsid w:val="00074623"/>
    <w:rsid w:val="0007798D"/>
    <w:rsid w:val="000801DF"/>
    <w:rsid w:val="00082975"/>
    <w:rsid w:val="00084FC1"/>
    <w:rsid w:val="000853C9"/>
    <w:rsid w:val="000856F3"/>
    <w:rsid w:val="00087240"/>
    <w:rsid w:val="0008792F"/>
    <w:rsid w:val="00094E95"/>
    <w:rsid w:val="000960F3"/>
    <w:rsid w:val="000A2B49"/>
    <w:rsid w:val="000A2E35"/>
    <w:rsid w:val="000A5917"/>
    <w:rsid w:val="000A735A"/>
    <w:rsid w:val="000B0EBA"/>
    <w:rsid w:val="000B11B9"/>
    <w:rsid w:val="000B60AF"/>
    <w:rsid w:val="000C07FA"/>
    <w:rsid w:val="000C0E7C"/>
    <w:rsid w:val="000C14A1"/>
    <w:rsid w:val="000C1C8B"/>
    <w:rsid w:val="000C377F"/>
    <w:rsid w:val="000C5242"/>
    <w:rsid w:val="000D0906"/>
    <w:rsid w:val="000D1093"/>
    <w:rsid w:val="000D398A"/>
    <w:rsid w:val="000D448D"/>
    <w:rsid w:val="000D4DC5"/>
    <w:rsid w:val="000D6033"/>
    <w:rsid w:val="000E4405"/>
    <w:rsid w:val="000E4A86"/>
    <w:rsid w:val="000F1FBA"/>
    <w:rsid w:val="000F3D2A"/>
    <w:rsid w:val="000F5770"/>
    <w:rsid w:val="00102AD6"/>
    <w:rsid w:val="00102EE4"/>
    <w:rsid w:val="001045C2"/>
    <w:rsid w:val="00106581"/>
    <w:rsid w:val="00107B79"/>
    <w:rsid w:val="0011023E"/>
    <w:rsid w:val="001117D6"/>
    <w:rsid w:val="00115EBC"/>
    <w:rsid w:val="00115F0C"/>
    <w:rsid w:val="00116242"/>
    <w:rsid w:val="00117364"/>
    <w:rsid w:val="001318D9"/>
    <w:rsid w:val="00132037"/>
    <w:rsid w:val="00137094"/>
    <w:rsid w:val="00140592"/>
    <w:rsid w:val="001408A6"/>
    <w:rsid w:val="00140F00"/>
    <w:rsid w:val="00142790"/>
    <w:rsid w:val="00142C7B"/>
    <w:rsid w:val="00143D54"/>
    <w:rsid w:val="0014691F"/>
    <w:rsid w:val="00146D4B"/>
    <w:rsid w:val="00147AFF"/>
    <w:rsid w:val="00150EB4"/>
    <w:rsid w:val="001513D6"/>
    <w:rsid w:val="001522B3"/>
    <w:rsid w:val="00153815"/>
    <w:rsid w:val="0015564D"/>
    <w:rsid w:val="00155B99"/>
    <w:rsid w:val="00155D19"/>
    <w:rsid w:val="0015694F"/>
    <w:rsid w:val="00156DC1"/>
    <w:rsid w:val="00156DF0"/>
    <w:rsid w:val="0016704A"/>
    <w:rsid w:val="00167244"/>
    <w:rsid w:val="0017164E"/>
    <w:rsid w:val="00174E01"/>
    <w:rsid w:val="00180245"/>
    <w:rsid w:val="001809D5"/>
    <w:rsid w:val="001817B5"/>
    <w:rsid w:val="0018213F"/>
    <w:rsid w:val="00185E5F"/>
    <w:rsid w:val="00186A4E"/>
    <w:rsid w:val="00187E78"/>
    <w:rsid w:val="00191BA4"/>
    <w:rsid w:val="00192F6F"/>
    <w:rsid w:val="00193175"/>
    <w:rsid w:val="0019459F"/>
    <w:rsid w:val="00194DCB"/>
    <w:rsid w:val="0019550E"/>
    <w:rsid w:val="001A13FB"/>
    <w:rsid w:val="001A45B4"/>
    <w:rsid w:val="001A7E5C"/>
    <w:rsid w:val="001B041A"/>
    <w:rsid w:val="001B1475"/>
    <w:rsid w:val="001B721B"/>
    <w:rsid w:val="001B7B50"/>
    <w:rsid w:val="001C087F"/>
    <w:rsid w:val="001C1C71"/>
    <w:rsid w:val="001C3D4B"/>
    <w:rsid w:val="001C5C39"/>
    <w:rsid w:val="001C7E32"/>
    <w:rsid w:val="001D02C5"/>
    <w:rsid w:val="001D4E94"/>
    <w:rsid w:val="001D681B"/>
    <w:rsid w:val="001E02EF"/>
    <w:rsid w:val="001E083E"/>
    <w:rsid w:val="001E1C45"/>
    <w:rsid w:val="001E5E55"/>
    <w:rsid w:val="001E7193"/>
    <w:rsid w:val="001E7CAA"/>
    <w:rsid w:val="001F0496"/>
    <w:rsid w:val="0020116E"/>
    <w:rsid w:val="00205CC9"/>
    <w:rsid w:val="002112B0"/>
    <w:rsid w:val="002139A4"/>
    <w:rsid w:val="002143E2"/>
    <w:rsid w:val="00214F0D"/>
    <w:rsid w:val="002168DE"/>
    <w:rsid w:val="002169E5"/>
    <w:rsid w:val="00216C46"/>
    <w:rsid w:val="0022164B"/>
    <w:rsid w:val="0022222B"/>
    <w:rsid w:val="002233FB"/>
    <w:rsid w:val="00227026"/>
    <w:rsid w:val="002270B6"/>
    <w:rsid w:val="00227E71"/>
    <w:rsid w:val="00232028"/>
    <w:rsid w:val="002355ED"/>
    <w:rsid w:val="002408FC"/>
    <w:rsid w:val="00245C9D"/>
    <w:rsid w:val="00250D8F"/>
    <w:rsid w:val="00251C45"/>
    <w:rsid w:val="00254DCD"/>
    <w:rsid w:val="00256C23"/>
    <w:rsid w:val="00264E6D"/>
    <w:rsid w:val="00272BD0"/>
    <w:rsid w:val="00275123"/>
    <w:rsid w:val="00276193"/>
    <w:rsid w:val="0029194C"/>
    <w:rsid w:val="00292574"/>
    <w:rsid w:val="002935BE"/>
    <w:rsid w:val="00294BCA"/>
    <w:rsid w:val="002974B5"/>
    <w:rsid w:val="002A08E2"/>
    <w:rsid w:val="002A6485"/>
    <w:rsid w:val="002A6971"/>
    <w:rsid w:val="002B0E22"/>
    <w:rsid w:val="002B1174"/>
    <w:rsid w:val="002B1961"/>
    <w:rsid w:val="002B3807"/>
    <w:rsid w:val="002B408A"/>
    <w:rsid w:val="002B4576"/>
    <w:rsid w:val="002C1B88"/>
    <w:rsid w:val="002C3D9E"/>
    <w:rsid w:val="002C508C"/>
    <w:rsid w:val="002D4D95"/>
    <w:rsid w:val="002D757C"/>
    <w:rsid w:val="002E1A2D"/>
    <w:rsid w:val="002E469F"/>
    <w:rsid w:val="002E63C1"/>
    <w:rsid w:val="002E76B6"/>
    <w:rsid w:val="002F0270"/>
    <w:rsid w:val="002F5C4A"/>
    <w:rsid w:val="003025EC"/>
    <w:rsid w:val="003042CE"/>
    <w:rsid w:val="00307A23"/>
    <w:rsid w:val="00310DE6"/>
    <w:rsid w:val="00315550"/>
    <w:rsid w:val="003167A9"/>
    <w:rsid w:val="00320374"/>
    <w:rsid w:val="0032155D"/>
    <w:rsid w:val="00330793"/>
    <w:rsid w:val="0033639D"/>
    <w:rsid w:val="0033694E"/>
    <w:rsid w:val="00345A69"/>
    <w:rsid w:val="00347858"/>
    <w:rsid w:val="00352A16"/>
    <w:rsid w:val="003546A3"/>
    <w:rsid w:val="003547A3"/>
    <w:rsid w:val="003578B0"/>
    <w:rsid w:val="00366ABE"/>
    <w:rsid w:val="00375D8E"/>
    <w:rsid w:val="00376660"/>
    <w:rsid w:val="00376A92"/>
    <w:rsid w:val="003778F4"/>
    <w:rsid w:val="0038014E"/>
    <w:rsid w:val="003869F5"/>
    <w:rsid w:val="0039501D"/>
    <w:rsid w:val="00395522"/>
    <w:rsid w:val="003964FE"/>
    <w:rsid w:val="00397342"/>
    <w:rsid w:val="003A6F84"/>
    <w:rsid w:val="003B2B05"/>
    <w:rsid w:val="003B374C"/>
    <w:rsid w:val="003B5AD7"/>
    <w:rsid w:val="003B7E24"/>
    <w:rsid w:val="003C2C5B"/>
    <w:rsid w:val="003C554B"/>
    <w:rsid w:val="003C583D"/>
    <w:rsid w:val="003C7904"/>
    <w:rsid w:val="003D0654"/>
    <w:rsid w:val="003D2277"/>
    <w:rsid w:val="003D54AB"/>
    <w:rsid w:val="003D5564"/>
    <w:rsid w:val="003D58FD"/>
    <w:rsid w:val="003D6056"/>
    <w:rsid w:val="003E201B"/>
    <w:rsid w:val="003E305F"/>
    <w:rsid w:val="003E3B16"/>
    <w:rsid w:val="003E5ABE"/>
    <w:rsid w:val="003F1856"/>
    <w:rsid w:val="003F1DE3"/>
    <w:rsid w:val="00401476"/>
    <w:rsid w:val="00405FF8"/>
    <w:rsid w:val="00407EEC"/>
    <w:rsid w:val="00412965"/>
    <w:rsid w:val="00413D7E"/>
    <w:rsid w:val="004147B1"/>
    <w:rsid w:val="004178B4"/>
    <w:rsid w:val="00420A32"/>
    <w:rsid w:val="00421A77"/>
    <w:rsid w:val="00425357"/>
    <w:rsid w:val="00436F63"/>
    <w:rsid w:val="00440467"/>
    <w:rsid w:val="004439D4"/>
    <w:rsid w:val="00444008"/>
    <w:rsid w:val="00446CF7"/>
    <w:rsid w:val="00447954"/>
    <w:rsid w:val="00447E3C"/>
    <w:rsid w:val="00453FD0"/>
    <w:rsid w:val="00455FB2"/>
    <w:rsid w:val="004624EB"/>
    <w:rsid w:val="0046549C"/>
    <w:rsid w:val="00465F8C"/>
    <w:rsid w:val="00470511"/>
    <w:rsid w:val="0047125A"/>
    <w:rsid w:val="004736AD"/>
    <w:rsid w:val="00473775"/>
    <w:rsid w:val="00476C1A"/>
    <w:rsid w:val="00476F4E"/>
    <w:rsid w:val="004800FD"/>
    <w:rsid w:val="004802ED"/>
    <w:rsid w:val="00481114"/>
    <w:rsid w:val="00486A9A"/>
    <w:rsid w:val="00487AEB"/>
    <w:rsid w:val="00487D85"/>
    <w:rsid w:val="0049053F"/>
    <w:rsid w:val="00492049"/>
    <w:rsid w:val="00494C56"/>
    <w:rsid w:val="004A0D8C"/>
    <w:rsid w:val="004A2AEA"/>
    <w:rsid w:val="004A391C"/>
    <w:rsid w:val="004B4D82"/>
    <w:rsid w:val="004D0203"/>
    <w:rsid w:val="004D0395"/>
    <w:rsid w:val="004D606C"/>
    <w:rsid w:val="004D764F"/>
    <w:rsid w:val="004E596D"/>
    <w:rsid w:val="004E60D3"/>
    <w:rsid w:val="004E6C50"/>
    <w:rsid w:val="004F4205"/>
    <w:rsid w:val="004F4C7F"/>
    <w:rsid w:val="004F66CC"/>
    <w:rsid w:val="004F69C8"/>
    <w:rsid w:val="004F79EE"/>
    <w:rsid w:val="005001B2"/>
    <w:rsid w:val="00501AF0"/>
    <w:rsid w:val="005023FC"/>
    <w:rsid w:val="00504D81"/>
    <w:rsid w:val="00506077"/>
    <w:rsid w:val="00506893"/>
    <w:rsid w:val="005074C3"/>
    <w:rsid w:val="00512B14"/>
    <w:rsid w:val="00513CB5"/>
    <w:rsid w:val="00516DEF"/>
    <w:rsid w:val="00525C62"/>
    <w:rsid w:val="00532185"/>
    <w:rsid w:val="0053496D"/>
    <w:rsid w:val="00537264"/>
    <w:rsid w:val="005437D5"/>
    <w:rsid w:val="00552FC3"/>
    <w:rsid w:val="00553108"/>
    <w:rsid w:val="00556040"/>
    <w:rsid w:val="005612DC"/>
    <w:rsid w:val="00562041"/>
    <w:rsid w:val="00562604"/>
    <w:rsid w:val="00563CB5"/>
    <w:rsid w:val="00563E41"/>
    <w:rsid w:val="0056523F"/>
    <w:rsid w:val="005674AB"/>
    <w:rsid w:val="00570AA1"/>
    <w:rsid w:val="00574047"/>
    <w:rsid w:val="00574348"/>
    <w:rsid w:val="00575A3A"/>
    <w:rsid w:val="00575BC0"/>
    <w:rsid w:val="00575EC2"/>
    <w:rsid w:val="00583CDC"/>
    <w:rsid w:val="00586144"/>
    <w:rsid w:val="00590CB4"/>
    <w:rsid w:val="00591A31"/>
    <w:rsid w:val="005931AE"/>
    <w:rsid w:val="00595925"/>
    <w:rsid w:val="00596857"/>
    <w:rsid w:val="005A1E78"/>
    <w:rsid w:val="005A6815"/>
    <w:rsid w:val="005B0CD5"/>
    <w:rsid w:val="005B0DE1"/>
    <w:rsid w:val="005B2F74"/>
    <w:rsid w:val="005B45BB"/>
    <w:rsid w:val="005B6C51"/>
    <w:rsid w:val="005B70B0"/>
    <w:rsid w:val="005C08E8"/>
    <w:rsid w:val="005C157C"/>
    <w:rsid w:val="005C6431"/>
    <w:rsid w:val="005D6DD7"/>
    <w:rsid w:val="005E4403"/>
    <w:rsid w:val="005F1238"/>
    <w:rsid w:val="005F4E99"/>
    <w:rsid w:val="005F6019"/>
    <w:rsid w:val="00602113"/>
    <w:rsid w:val="00604B53"/>
    <w:rsid w:val="0060540D"/>
    <w:rsid w:val="00620D1E"/>
    <w:rsid w:val="00620E5D"/>
    <w:rsid w:val="00621018"/>
    <w:rsid w:val="006217E4"/>
    <w:rsid w:val="00621DBF"/>
    <w:rsid w:val="00622D23"/>
    <w:rsid w:val="00623CFF"/>
    <w:rsid w:val="006253BB"/>
    <w:rsid w:val="00626D79"/>
    <w:rsid w:val="00632ECE"/>
    <w:rsid w:val="00633B2D"/>
    <w:rsid w:val="00645C72"/>
    <w:rsid w:val="0065195E"/>
    <w:rsid w:val="00652AFE"/>
    <w:rsid w:val="00652F8B"/>
    <w:rsid w:val="00660F4F"/>
    <w:rsid w:val="00661404"/>
    <w:rsid w:val="0066443C"/>
    <w:rsid w:val="006675F2"/>
    <w:rsid w:val="006736AA"/>
    <w:rsid w:val="006740A7"/>
    <w:rsid w:val="00675AA7"/>
    <w:rsid w:val="0068058C"/>
    <w:rsid w:val="00680F41"/>
    <w:rsid w:val="006849A5"/>
    <w:rsid w:val="00686F0F"/>
    <w:rsid w:val="00687B96"/>
    <w:rsid w:val="0069351A"/>
    <w:rsid w:val="00695A07"/>
    <w:rsid w:val="006A4E8F"/>
    <w:rsid w:val="006A6A99"/>
    <w:rsid w:val="006B39CF"/>
    <w:rsid w:val="006B3CB1"/>
    <w:rsid w:val="006B4F54"/>
    <w:rsid w:val="006B63B6"/>
    <w:rsid w:val="006C0D9B"/>
    <w:rsid w:val="006C5B15"/>
    <w:rsid w:val="006C5C95"/>
    <w:rsid w:val="006C7F81"/>
    <w:rsid w:val="006D14D5"/>
    <w:rsid w:val="006D7401"/>
    <w:rsid w:val="006D7BF6"/>
    <w:rsid w:val="006E17A9"/>
    <w:rsid w:val="006E3634"/>
    <w:rsid w:val="006E4A84"/>
    <w:rsid w:val="006E61EB"/>
    <w:rsid w:val="006E6570"/>
    <w:rsid w:val="006F2271"/>
    <w:rsid w:val="006F4D24"/>
    <w:rsid w:val="006F5CD6"/>
    <w:rsid w:val="00700BDF"/>
    <w:rsid w:val="00706C13"/>
    <w:rsid w:val="00707BFB"/>
    <w:rsid w:val="007100EA"/>
    <w:rsid w:val="00712AB7"/>
    <w:rsid w:val="00713EBD"/>
    <w:rsid w:val="00714584"/>
    <w:rsid w:val="0071502B"/>
    <w:rsid w:val="00720257"/>
    <w:rsid w:val="00723BF7"/>
    <w:rsid w:val="00727473"/>
    <w:rsid w:val="00727586"/>
    <w:rsid w:val="007302D2"/>
    <w:rsid w:val="00732C73"/>
    <w:rsid w:val="00736EA1"/>
    <w:rsid w:val="0074042C"/>
    <w:rsid w:val="007444B9"/>
    <w:rsid w:val="00751292"/>
    <w:rsid w:val="00751D05"/>
    <w:rsid w:val="00756D1B"/>
    <w:rsid w:val="00757464"/>
    <w:rsid w:val="0076138D"/>
    <w:rsid w:val="007673D6"/>
    <w:rsid w:val="00773EA5"/>
    <w:rsid w:val="00775075"/>
    <w:rsid w:val="00776C09"/>
    <w:rsid w:val="00777D65"/>
    <w:rsid w:val="00781843"/>
    <w:rsid w:val="00782A6C"/>
    <w:rsid w:val="00784F40"/>
    <w:rsid w:val="00790879"/>
    <w:rsid w:val="00790A86"/>
    <w:rsid w:val="00790F00"/>
    <w:rsid w:val="00792010"/>
    <w:rsid w:val="00792451"/>
    <w:rsid w:val="007926BA"/>
    <w:rsid w:val="00793682"/>
    <w:rsid w:val="00793ADC"/>
    <w:rsid w:val="0079622B"/>
    <w:rsid w:val="007A1002"/>
    <w:rsid w:val="007A4D22"/>
    <w:rsid w:val="007A7140"/>
    <w:rsid w:val="007B13EF"/>
    <w:rsid w:val="007B1F1D"/>
    <w:rsid w:val="007B2341"/>
    <w:rsid w:val="007C0DF2"/>
    <w:rsid w:val="007C11D3"/>
    <w:rsid w:val="007C1884"/>
    <w:rsid w:val="007C22BF"/>
    <w:rsid w:val="007C5FF6"/>
    <w:rsid w:val="007D3E35"/>
    <w:rsid w:val="007D49B1"/>
    <w:rsid w:val="007E0509"/>
    <w:rsid w:val="007E13D4"/>
    <w:rsid w:val="007E3524"/>
    <w:rsid w:val="007E450F"/>
    <w:rsid w:val="007E6800"/>
    <w:rsid w:val="007F4FAA"/>
    <w:rsid w:val="007F5E6D"/>
    <w:rsid w:val="008034D6"/>
    <w:rsid w:val="00806AD6"/>
    <w:rsid w:val="0081496F"/>
    <w:rsid w:val="008149B0"/>
    <w:rsid w:val="00816C3D"/>
    <w:rsid w:val="00816D5A"/>
    <w:rsid w:val="008232A5"/>
    <w:rsid w:val="0082341B"/>
    <w:rsid w:val="008243E1"/>
    <w:rsid w:val="008259B3"/>
    <w:rsid w:val="00826122"/>
    <w:rsid w:val="0082673F"/>
    <w:rsid w:val="00826809"/>
    <w:rsid w:val="00827EDE"/>
    <w:rsid w:val="00832413"/>
    <w:rsid w:val="008373DC"/>
    <w:rsid w:val="0084022B"/>
    <w:rsid w:val="00842348"/>
    <w:rsid w:val="00843CAA"/>
    <w:rsid w:val="00843EFB"/>
    <w:rsid w:val="00844546"/>
    <w:rsid w:val="00845E94"/>
    <w:rsid w:val="008471AA"/>
    <w:rsid w:val="00853808"/>
    <w:rsid w:val="00853AC4"/>
    <w:rsid w:val="008708A9"/>
    <w:rsid w:val="008709B3"/>
    <w:rsid w:val="00874ED0"/>
    <w:rsid w:val="00876040"/>
    <w:rsid w:val="00880F2B"/>
    <w:rsid w:val="008824D0"/>
    <w:rsid w:val="00883592"/>
    <w:rsid w:val="00883914"/>
    <w:rsid w:val="00891521"/>
    <w:rsid w:val="00894FB2"/>
    <w:rsid w:val="008A018C"/>
    <w:rsid w:val="008A1E13"/>
    <w:rsid w:val="008A3EDD"/>
    <w:rsid w:val="008A59E9"/>
    <w:rsid w:val="008A7A31"/>
    <w:rsid w:val="008B04F7"/>
    <w:rsid w:val="008B0FE8"/>
    <w:rsid w:val="008B3685"/>
    <w:rsid w:val="008B420B"/>
    <w:rsid w:val="008C1741"/>
    <w:rsid w:val="008C261F"/>
    <w:rsid w:val="008C29B5"/>
    <w:rsid w:val="008C34FB"/>
    <w:rsid w:val="008D01C7"/>
    <w:rsid w:val="008D1361"/>
    <w:rsid w:val="008D523F"/>
    <w:rsid w:val="008D53B4"/>
    <w:rsid w:val="008D652B"/>
    <w:rsid w:val="008E165B"/>
    <w:rsid w:val="008E307F"/>
    <w:rsid w:val="008F2139"/>
    <w:rsid w:val="008F4D2A"/>
    <w:rsid w:val="008F5B44"/>
    <w:rsid w:val="008F777E"/>
    <w:rsid w:val="00906A68"/>
    <w:rsid w:val="00910032"/>
    <w:rsid w:val="00912A5D"/>
    <w:rsid w:val="0091425E"/>
    <w:rsid w:val="00917457"/>
    <w:rsid w:val="009207E5"/>
    <w:rsid w:val="00925082"/>
    <w:rsid w:val="00925206"/>
    <w:rsid w:val="00932009"/>
    <w:rsid w:val="00941852"/>
    <w:rsid w:val="00941A2A"/>
    <w:rsid w:val="0094256C"/>
    <w:rsid w:val="00942766"/>
    <w:rsid w:val="00942983"/>
    <w:rsid w:val="00944D78"/>
    <w:rsid w:val="00945173"/>
    <w:rsid w:val="00950CD1"/>
    <w:rsid w:val="00954794"/>
    <w:rsid w:val="009551E2"/>
    <w:rsid w:val="00956440"/>
    <w:rsid w:val="00957368"/>
    <w:rsid w:val="00957922"/>
    <w:rsid w:val="00960349"/>
    <w:rsid w:val="009743F5"/>
    <w:rsid w:val="009753A9"/>
    <w:rsid w:val="00976CE8"/>
    <w:rsid w:val="00981EA5"/>
    <w:rsid w:val="009831FD"/>
    <w:rsid w:val="0098481C"/>
    <w:rsid w:val="00985D71"/>
    <w:rsid w:val="009860F3"/>
    <w:rsid w:val="00990F21"/>
    <w:rsid w:val="009916E0"/>
    <w:rsid w:val="00993B86"/>
    <w:rsid w:val="009A4179"/>
    <w:rsid w:val="009A4355"/>
    <w:rsid w:val="009A4FB3"/>
    <w:rsid w:val="009A772F"/>
    <w:rsid w:val="009B3C59"/>
    <w:rsid w:val="009B3E76"/>
    <w:rsid w:val="009B4215"/>
    <w:rsid w:val="009B6EAB"/>
    <w:rsid w:val="009C31D8"/>
    <w:rsid w:val="009C6EE1"/>
    <w:rsid w:val="009C7816"/>
    <w:rsid w:val="009D0593"/>
    <w:rsid w:val="009D1251"/>
    <w:rsid w:val="009D152D"/>
    <w:rsid w:val="009D277E"/>
    <w:rsid w:val="009D668F"/>
    <w:rsid w:val="009D76C5"/>
    <w:rsid w:val="009D77F3"/>
    <w:rsid w:val="009E295D"/>
    <w:rsid w:val="009E3E5E"/>
    <w:rsid w:val="009E49CA"/>
    <w:rsid w:val="009E4B69"/>
    <w:rsid w:val="009E64C6"/>
    <w:rsid w:val="009E651F"/>
    <w:rsid w:val="009E7D11"/>
    <w:rsid w:val="009F0900"/>
    <w:rsid w:val="009F2E98"/>
    <w:rsid w:val="009F40D9"/>
    <w:rsid w:val="00A03AF9"/>
    <w:rsid w:val="00A0535C"/>
    <w:rsid w:val="00A06E17"/>
    <w:rsid w:val="00A132B7"/>
    <w:rsid w:val="00A14CA1"/>
    <w:rsid w:val="00A161D6"/>
    <w:rsid w:val="00A20B2B"/>
    <w:rsid w:val="00A22160"/>
    <w:rsid w:val="00A27273"/>
    <w:rsid w:val="00A32F1D"/>
    <w:rsid w:val="00A36170"/>
    <w:rsid w:val="00A42763"/>
    <w:rsid w:val="00A42A7D"/>
    <w:rsid w:val="00A4412D"/>
    <w:rsid w:val="00A45C32"/>
    <w:rsid w:val="00A51FA3"/>
    <w:rsid w:val="00A62037"/>
    <w:rsid w:val="00A63E85"/>
    <w:rsid w:val="00A702E7"/>
    <w:rsid w:val="00A70E9A"/>
    <w:rsid w:val="00A71EF6"/>
    <w:rsid w:val="00A7252D"/>
    <w:rsid w:val="00A740E5"/>
    <w:rsid w:val="00A765FE"/>
    <w:rsid w:val="00A77DED"/>
    <w:rsid w:val="00A82AB4"/>
    <w:rsid w:val="00A83B76"/>
    <w:rsid w:val="00A86437"/>
    <w:rsid w:val="00A93733"/>
    <w:rsid w:val="00A956BA"/>
    <w:rsid w:val="00A958F3"/>
    <w:rsid w:val="00AA2A93"/>
    <w:rsid w:val="00AA33EF"/>
    <w:rsid w:val="00AA46AD"/>
    <w:rsid w:val="00AA59CA"/>
    <w:rsid w:val="00AA7496"/>
    <w:rsid w:val="00AA7D0C"/>
    <w:rsid w:val="00AB1743"/>
    <w:rsid w:val="00AC16F1"/>
    <w:rsid w:val="00AC4845"/>
    <w:rsid w:val="00AC7165"/>
    <w:rsid w:val="00AD4D64"/>
    <w:rsid w:val="00AD5E31"/>
    <w:rsid w:val="00AE058F"/>
    <w:rsid w:val="00AE122A"/>
    <w:rsid w:val="00AE52DA"/>
    <w:rsid w:val="00AE75C9"/>
    <w:rsid w:val="00AF1A7D"/>
    <w:rsid w:val="00AF7BBE"/>
    <w:rsid w:val="00B06C8B"/>
    <w:rsid w:val="00B07928"/>
    <w:rsid w:val="00B1123C"/>
    <w:rsid w:val="00B11FB4"/>
    <w:rsid w:val="00B12F6E"/>
    <w:rsid w:val="00B13EEC"/>
    <w:rsid w:val="00B143EB"/>
    <w:rsid w:val="00B175C7"/>
    <w:rsid w:val="00B17712"/>
    <w:rsid w:val="00B21D02"/>
    <w:rsid w:val="00B22D93"/>
    <w:rsid w:val="00B247F2"/>
    <w:rsid w:val="00B25084"/>
    <w:rsid w:val="00B253B0"/>
    <w:rsid w:val="00B25BD9"/>
    <w:rsid w:val="00B31C56"/>
    <w:rsid w:val="00B33AC1"/>
    <w:rsid w:val="00B33DEB"/>
    <w:rsid w:val="00B4205C"/>
    <w:rsid w:val="00B458F8"/>
    <w:rsid w:val="00B51165"/>
    <w:rsid w:val="00B540F1"/>
    <w:rsid w:val="00B5577C"/>
    <w:rsid w:val="00B55F15"/>
    <w:rsid w:val="00B60247"/>
    <w:rsid w:val="00B607CC"/>
    <w:rsid w:val="00B609A6"/>
    <w:rsid w:val="00B6162E"/>
    <w:rsid w:val="00B64B9D"/>
    <w:rsid w:val="00B67660"/>
    <w:rsid w:val="00B71AA9"/>
    <w:rsid w:val="00B74BC5"/>
    <w:rsid w:val="00B75781"/>
    <w:rsid w:val="00B77A5A"/>
    <w:rsid w:val="00B80F56"/>
    <w:rsid w:val="00B92327"/>
    <w:rsid w:val="00BA06FA"/>
    <w:rsid w:val="00BA5355"/>
    <w:rsid w:val="00BA7D84"/>
    <w:rsid w:val="00BB332F"/>
    <w:rsid w:val="00BB40A5"/>
    <w:rsid w:val="00BB7E95"/>
    <w:rsid w:val="00BC1BD4"/>
    <w:rsid w:val="00BC229E"/>
    <w:rsid w:val="00BC3C64"/>
    <w:rsid w:val="00BC4CD4"/>
    <w:rsid w:val="00BD0A1D"/>
    <w:rsid w:val="00BD4C10"/>
    <w:rsid w:val="00BD53D9"/>
    <w:rsid w:val="00BD5BC8"/>
    <w:rsid w:val="00BE111B"/>
    <w:rsid w:val="00BE2D17"/>
    <w:rsid w:val="00BE7F75"/>
    <w:rsid w:val="00BF04C2"/>
    <w:rsid w:val="00BF0E3A"/>
    <w:rsid w:val="00BF6415"/>
    <w:rsid w:val="00BF6BD6"/>
    <w:rsid w:val="00C02C74"/>
    <w:rsid w:val="00C03489"/>
    <w:rsid w:val="00C04051"/>
    <w:rsid w:val="00C050A4"/>
    <w:rsid w:val="00C07F71"/>
    <w:rsid w:val="00C106B5"/>
    <w:rsid w:val="00C1461D"/>
    <w:rsid w:val="00C14C6E"/>
    <w:rsid w:val="00C21F89"/>
    <w:rsid w:val="00C22D2C"/>
    <w:rsid w:val="00C249AF"/>
    <w:rsid w:val="00C31B63"/>
    <w:rsid w:val="00C34A6F"/>
    <w:rsid w:val="00C35F99"/>
    <w:rsid w:val="00C36DFC"/>
    <w:rsid w:val="00C40FC1"/>
    <w:rsid w:val="00C417AD"/>
    <w:rsid w:val="00C41C77"/>
    <w:rsid w:val="00C42808"/>
    <w:rsid w:val="00C43E54"/>
    <w:rsid w:val="00C4528D"/>
    <w:rsid w:val="00C45E1D"/>
    <w:rsid w:val="00C47C68"/>
    <w:rsid w:val="00C50031"/>
    <w:rsid w:val="00C5021C"/>
    <w:rsid w:val="00C51AFE"/>
    <w:rsid w:val="00C51F49"/>
    <w:rsid w:val="00C52984"/>
    <w:rsid w:val="00C5395F"/>
    <w:rsid w:val="00C56CD0"/>
    <w:rsid w:val="00C60399"/>
    <w:rsid w:val="00C60426"/>
    <w:rsid w:val="00C6136C"/>
    <w:rsid w:val="00C619EC"/>
    <w:rsid w:val="00C61C81"/>
    <w:rsid w:val="00C620AA"/>
    <w:rsid w:val="00C64D5F"/>
    <w:rsid w:val="00C66980"/>
    <w:rsid w:val="00C67AE1"/>
    <w:rsid w:val="00C70230"/>
    <w:rsid w:val="00C72096"/>
    <w:rsid w:val="00C74223"/>
    <w:rsid w:val="00C742DC"/>
    <w:rsid w:val="00C74C6E"/>
    <w:rsid w:val="00C7768D"/>
    <w:rsid w:val="00C779DF"/>
    <w:rsid w:val="00C832EC"/>
    <w:rsid w:val="00C833AB"/>
    <w:rsid w:val="00C84CD2"/>
    <w:rsid w:val="00C85533"/>
    <w:rsid w:val="00C856FC"/>
    <w:rsid w:val="00C92C2D"/>
    <w:rsid w:val="00C92CFA"/>
    <w:rsid w:val="00C93E3A"/>
    <w:rsid w:val="00C94BEA"/>
    <w:rsid w:val="00C955E4"/>
    <w:rsid w:val="00C975E9"/>
    <w:rsid w:val="00CA00C9"/>
    <w:rsid w:val="00CA0B90"/>
    <w:rsid w:val="00CB0750"/>
    <w:rsid w:val="00CB6AA4"/>
    <w:rsid w:val="00CC14D9"/>
    <w:rsid w:val="00CC36DD"/>
    <w:rsid w:val="00CC6218"/>
    <w:rsid w:val="00CD0187"/>
    <w:rsid w:val="00CD23CB"/>
    <w:rsid w:val="00CE0F6A"/>
    <w:rsid w:val="00CE263B"/>
    <w:rsid w:val="00CE5AE4"/>
    <w:rsid w:val="00CE7B3F"/>
    <w:rsid w:val="00CF20EE"/>
    <w:rsid w:val="00CF5812"/>
    <w:rsid w:val="00CF7DC5"/>
    <w:rsid w:val="00D00456"/>
    <w:rsid w:val="00D00654"/>
    <w:rsid w:val="00D008C4"/>
    <w:rsid w:val="00D03B57"/>
    <w:rsid w:val="00D03C48"/>
    <w:rsid w:val="00D06B05"/>
    <w:rsid w:val="00D1386D"/>
    <w:rsid w:val="00D14067"/>
    <w:rsid w:val="00D17D55"/>
    <w:rsid w:val="00D3065F"/>
    <w:rsid w:val="00D3186A"/>
    <w:rsid w:val="00D329F6"/>
    <w:rsid w:val="00D443CF"/>
    <w:rsid w:val="00D501DB"/>
    <w:rsid w:val="00D5140B"/>
    <w:rsid w:val="00D51536"/>
    <w:rsid w:val="00D51AE9"/>
    <w:rsid w:val="00D520BD"/>
    <w:rsid w:val="00D54C2D"/>
    <w:rsid w:val="00D56134"/>
    <w:rsid w:val="00D573DF"/>
    <w:rsid w:val="00D622FE"/>
    <w:rsid w:val="00D708FA"/>
    <w:rsid w:val="00D723F1"/>
    <w:rsid w:val="00D7446A"/>
    <w:rsid w:val="00D83163"/>
    <w:rsid w:val="00D84C8F"/>
    <w:rsid w:val="00D903D8"/>
    <w:rsid w:val="00D926F6"/>
    <w:rsid w:val="00D92C49"/>
    <w:rsid w:val="00D9385D"/>
    <w:rsid w:val="00D96763"/>
    <w:rsid w:val="00DA14BE"/>
    <w:rsid w:val="00DA1DDB"/>
    <w:rsid w:val="00DA1F06"/>
    <w:rsid w:val="00DA26B9"/>
    <w:rsid w:val="00DB178A"/>
    <w:rsid w:val="00DB3904"/>
    <w:rsid w:val="00DB46A9"/>
    <w:rsid w:val="00DB7B9A"/>
    <w:rsid w:val="00DC03B0"/>
    <w:rsid w:val="00DC35E5"/>
    <w:rsid w:val="00DC6B1D"/>
    <w:rsid w:val="00DC743F"/>
    <w:rsid w:val="00DD1B55"/>
    <w:rsid w:val="00DD2AB6"/>
    <w:rsid w:val="00DD6C7E"/>
    <w:rsid w:val="00DD7447"/>
    <w:rsid w:val="00DD76B2"/>
    <w:rsid w:val="00DE020B"/>
    <w:rsid w:val="00DE6217"/>
    <w:rsid w:val="00DF0594"/>
    <w:rsid w:val="00DF5118"/>
    <w:rsid w:val="00E0166F"/>
    <w:rsid w:val="00E01EA3"/>
    <w:rsid w:val="00E03FE1"/>
    <w:rsid w:val="00E04F7B"/>
    <w:rsid w:val="00E062F2"/>
    <w:rsid w:val="00E067D1"/>
    <w:rsid w:val="00E10E1E"/>
    <w:rsid w:val="00E1304A"/>
    <w:rsid w:val="00E13923"/>
    <w:rsid w:val="00E13F66"/>
    <w:rsid w:val="00E1760E"/>
    <w:rsid w:val="00E2045D"/>
    <w:rsid w:val="00E20BF1"/>
    <w:rsid w:val="00E20EA9"/>
    <w:rsid w:val="00E22AFB"/>
    <w:rsid w:val="00E235FF"/>
    <w:rsid w:val="00E24D94"/>
    <w:rsid w:val="00E27FDF"/>
    <w:rsid w:val="00E3034F"/>
    <w:rsid w:val="00E32776"/>
    <w:rsid w:val="00E334F1"/>
    <w:rsid w:val="00E33659"/>
    <w:rsid w:val="00E40457"/>
    <w:rsid w:val="00E454C3"/>
    <w:rsid w:val="00E500AA"/>
    <w:rsid w:val="00E5777D"/>
    <w:rsid w:val="00E63022"/>
    <w:rsid w:val="00E65835"/>
    <w:rsid w:val="00E66701"/>
    <w:rsid w:val="00E72ADE"/>
    <w:rsid w:val="00E73E21"/>
    <w:rsid w:val="00E77602"/>
    <w:rsid w:val="00E81844"/>
    <w:rsid w:val="00E821D8"/>
    <w:rsid w:val="00E91554"/>
    <w:rsid w:val="00E918A8"/>
    <w:rsid w:val="00E94CF0"/>
    <w:rsid w:val="00EA12EF"/>
    <w:rsid w:val="00EA60B9"/>
    <w:rsid w:val="00EC0029"/>
    <w:rsid w:val="00ED0111"/>
    <w:rsid w:val="00ED0253"/>
    <w:rsid w:val="00ED2FB4"/>
    <w:rsid w:val="00ED38CF"/>
    <w:rsid w:val="00ED3C1A"/>
    <w:rsid w:val="00ED5FDC"/>
    <w:rsid w:val="00EE240B"/>
    <w:rsid w:val="00EE28ED"/>
    <w:rsid w:val="00EE291D"/>
    <w:rsid w:val="00EE3711"/>
    <w:rsid w:val="00EE4FDD"/>
    <w:rsid w:val="00EF1D07"/>
    <w:rsid w:val="00EF1DDF"/>
    <w:rsid w:val="00EF2283"/>
    <w:rsid w:val="00EF2FA7"/>
    <w:rsid w:val="00EF455D"/>
    <w:rsid w:val="00EF4F45"/>
    <w:rsid w:val="00EF5459"/>
    <w:rsid w:val="00EF5679"/>
    <w:rsid w:val="00EF5BCE"/>
    <w:rsid w:val="00EF5C13"/>
    <w:rsid w:val="00EF5E25"/>
    <w:rsid w:val="00EF6BCC"/>
    <w:rsid w:val="00F02C50"/>
    <w:rsid w:val="00F03AD2"/>
    <w:rsid w:val="00F138E4"/>
    <w:rsid w:val="00F16304"/>
    <w:rsid w:val="00F165CE"/>
    <w:rsid w:val="00F27056"/>
    <w:rsid w:val="00F27CE9"/>
    <w:rsid w:val="00F30ABB"/>
    <w:rsid w:val="00F30D85"/>
    <w:rsid w:val="00F34818"/>
    <w:rsid w:val="00F410E8"/>
    <w:rsid w:val="00F42F5F"/>
    <w:rsid w:val="00F447ED"/>
    <w:rsid w:val="00F450EF"/>
    <w:rsid w:val="00F468AD"/>
    <w:rsid w:val="00F54CCC"/>
    <w:rsid w:val="00F56E9A"/>
    <w:rsid w:val="00F579A3"/>
    <w:rsid w:val="00F66DF4"/>
    <w:rsid w:val="00F71E72"/>
    <w:rsid w:val="00F72951"/>
    <w:rsid w:val="00F75757"/>
    <w:rsid w:val="00F7605D"/>
    <w:rsid w:val="00F8054B"/>
    <w:rsid w:val="00F80B63"/>
    <w:rsid w:val="00F80FB1"/>
    <w:rsid w:val="00F876C3"/>
    <w:rsid w:val="00F87703"/>
    <w:rsid w:val="00FA0141"/>
    <w:rsid w:val="00FA4297"/>
    <w:rsid w:val="00FA6850"/>
    <w:rsid w:val="00FA6CD3"/>
    <w:rsid w:val="00FB0969"/>
    <w:rsid w:val="00FB1A1B"/>
    <w:rsid w:val="00FB5DD5"/>
    <w:rsid w:val="00FB5FAE"/>
    <w:rsid w:val="00FB5FC8"/>
    <w:rsid w:val="00FB7097"/>
    <w:rsid w:val="00FC00A3"/>
    <w:rsid w:val="00FC0419"/>
    <w:rsid w:val="00FC0662"/>
    <w:rsid w:val="00FC2C33"/>
    <w:rsid w:val="00FC3A04"/>
    <w:rsid w:val="00FC63C6"/>
    <w:rsid w:val="00FC6E1F"/>
    <w:rsid w:val="00FC7841"/>
    <w:rsid w:val="00FD30AA"/>
    <w:rsid w:val="00FD3927"/>
    <w:rsid w:val="00FD3C5B"/>
    <w:rsid w:val="00FD4A89"/>
    <w:rsid w:val="00FD4BFC"/>
    <w:rsid w:val="00FE1D92"/>
    <w:rsid w:val="00FE4A80"/>
    <w:rsid w:val="00FF49AC"/>
    <w:rsid w:val="00FF586F"/>
    <w:rsid w:val="00FF7902"/>
    <w:rsid w:val="084F33CB"/>
    <w:rsid w:val="230F0E8A"/>
    <w:rsid w:val="3906619F"/>
    <w:rsid w:val="3F213261"/>
    <w:rsid w:val="581D1822"/>
    <w:rsid w:val="65373B30"/>
    <w:rsid w:val="693E03E0"/>
    <w:rsid w:val="70DF7B65"/>
    <w:rsid w:val="7CA253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iPriority="0" w:semiHidden="0" w:name="heading 3"/>
    <w:lsdException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39" w:semiHidden="0" w:name="toc 1"/>
    <w:lsdException w:qFormat="1" w:unhideWhenUsed="0" w:uiPriority="39" w:semiHidden="0" w:name="toc 2"/>
    <w:lsdException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99" w:semiHidden="0" w:name="Normal Indent"/>
    <w:lsdException w:uiPriority="0" w:name="footnote text"/>
    <w:lsdException w:qFormat="1" w:unhideWhenUsed="0" w:uiPriority="0" w:semiHidden="0" w:name="annotation text"/>
    <w:lsdException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unhideWhenUsed="0" w:uiPriority="0" w:semiHidden="0" w:name="Subtitle"/>
    <w:lsdException w:uiPriority="0" w:name="Salutation"/>
    <w:lsdException w:qFormat="1" w:uiPriority="0" w:name="Date"/>
    <w:lsdException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qFormat="1" w:unhideWhenUsed="0" w:uiPriority="99"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unhideWhenUsed="0" w:uiPriority="0" w:semiHidden="0" w:name="Emphasis"/>
    <w:lsdException w:uiPriority="0" w:name="Document Map"/>
    <w:lsdException w:qFormat="1" w:unhideWhenUsed="0" w:uiPriority="99"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Times New Roman" w:hAnsi="Times New Roman" w:eastAsiaTheme="minorEastAsia" w:cstheme="minorBidi"/>
      <w:kern w:val="2"/>
      <w:sz w:val="24"/>
      <w:szCs w:val="24"/>
      <w:lang w:val="en-US" w:eastAsia="zh-CN" w:bidi="ar-SA"/>
    </w:rPr>
  </w:style>
  <w:style w:type="paragraph" w:styleId="4">
    <w:name w:val="heading 1"/>
    <w:basedOn w:val="1"/>
    <w:next w:val="1"/>
    <w:qFormat/>
    <w:uiPriority w:val="99"/>
    <w:pPr>
      <w:keepNext/>
      <w:keepLines/>
      <w:ind w:firstLine="0" w:firstLineChars="0"/>
      <w:jc w:val="left"/>
      <w:outlineLvl w:val="0"/>
    </w:pPr>
    <w:rPr>
      <w:rFonts w:eastAsia="宋体"/>
      <w:b/>
      <w:bCs/>
      <w:kern w:val="44"/>
      <w:sz w:val="30"/>
      <w:szCs w:val="44"/>
    </w:rPr>
  </w:style>
  <w:style w:type="paragraph" w:styleId="5">
    <w:name w:val="heading 2"/>
    <w:basedOn w:val="1"/>
    <w:next w:val="1"/>
    <w:qFormat/>
    <w:uiPriority w:val="99"/>
    <w:pPr>
      <w:keepNext/>
      <w:keepLines/>
      <w:ind w:firstLine="0" w:firstLineChars="0"/>
      <w:jc w:val="left"/>
      <w:outlineLvl w:val="1"/>
    </w:pPr>
    <w:rPr>
      <w:rFonts w:eastAsia="宋体" w:cs="Arial"/>
      <w:b/>
      <w:bCs/>
      <w:sz w:val="28"/>
      <w:szCs w:val="32"/>
    </w:rPr>
  </w:style>
  <w:style w:type="paragraph" w:styleId="6">
    <w:name w:val="heading 3"/>
    <w:basedOn w:val="1"/>
    <w:next w:val="1"/>
    <w:unhideWhenUsed/>
    <w:qFormat/>
    <w:uiPriority w:val="0"/>
    <w:pPr>
      <w:keepNext/>
      <w:keepLines/>
      <w:ind w:firstLine="0" w:firstLineChars="0"/>
      <w:jc w:val="left"/>
      <w:outlineLvl w:val="2"/>
    </w:pPr>
    <w:rPr>
      <w:b/>
    </w:rPr>
  </w:style>
  <w:style w:type="character" w:default="1" w:styleId="24">
    <w:name w:val="Default Paragraph Font"/>
    <w:semiHidden/>
    <w:unhideWhenUsed/>
    <w:qFormat/>
    <w:uiPriority w:val="1"/>
  </w:style>
  <w:style w:type="table" w:default="1" w:styleId="22">
    <w:name w:val="Normal Table"/>
    <w:semiHidden/>
    <w:unhideWhenUsed/>
    <w:uiPriority w:val="99"/>
    <w:tblPr>
      <w:tblCellMar>
        <w:top w:w="0" w:type="dxa"/>
        <w:left w:w="108" w:type="dxa"/>
        <w:bottom w:w="0" w:type="dxa"/>
        <w:right w:w="108" w:type="dxa"/>
      </w:tblCellMar>
    </w:tblPr>
  </w:style>
  <w:style w:type="paragraph" w:styleId="2">
    <w:name w:val="Body Text First Indent 2"/>
    <w:basedOn w:val="3"/>
    <w:qFormat/>
    <w:uiPriority w:val="0"/>
  </w:style>
  <w:style w:type="paragraph" w:styleId="3">
    <w:name w:val="Body Text Indent"/>
    <w:basedOn w:val="1"/>
    <w:qFormat/>
    <w:uiPriority w:val="0"/>
    <w:pPr>
      <w:spacing w:after="120"/>
      <w:ind w:left="420" w:leftChars="200"/>
    </w:pPr>
  </w:style>
  <w:style w:type="paragraph" w:styleId="7">
    <w:name w:val="Normal Indent"/>
    <w:basedOn w:val="1"/>
    <w:qFormat/>
    <w:uiPriority w:val="99"/>
    <w:pPr>
      <w:adjustRightInd w:val="0"/>
      <w:snapToGrid w:val="0"/>
      <w:ind w:firstLine="454"/>
    </w:pPr>
    <w:rPr>
      <w:rFonts w:cs="Times New Roman"/>
      <w:color w:val="000000"/>
    </w:rPr>
  </w:style>
  <w:style w:type="paragraph" w:styleId="8">
    <w:name w:val="annotation text"/>
    <w:basedOn w:val="1"/>
    <w:link w:val="30"/>
    <w:qFormat/>
    <w:uiPriority w:val="0"/>
    <w:pPr>
      <w:jc w:val="left"/>
    </w:pPr>
  </w:style>
  <w:style w:type="paragraph" w:styleId="9">
    <w:name w:val="Body Text"/>
    <w:basedOn w:val="1"/>
    <w:qFormat/>
    <w:uiPriority w:val="0"/>
    <w:pPr>
      <w:jc w:val="center"/>
    </w:pPr>
    <w:rPr>
      <w:sz w:val="21"/>
    </w:rPr>
  </w:style>
  <w:style w:type="paragraph" w:styleId="10">
    <w:name w:val="toc 3"/>
    <w:basedOn w:val="1"/>
    <w:next w:val="1"/>
    <w:uiPriority w:val="39"/>
    <w:pPr>
      <w:ind w:left="840" w:leftChars="400"/>
    </w:pPr>
  </w:style>
  <w:style w:type="paragraph" w:styleId="11">
    <w:name w:val="Plain Text"/>
    <w:basedOn w:val="1"/>
    <w:qFormat/>
    <w:uiPriority w:val="99"/>
    <w:rPr>
      <w:rFonts w:ascii="宋体" w:hAnsi="Courier New" w:cs="宋体"/>
      <w:sz w:val="28"/>
      <w:szCs w:val="28"/>
    </w:rPr>
  </w:style>
  <w:style w:type="paragraph" w:styleId="12">
    <w:name w:val="Date"/>
    <w:basedOn w:val="1"/>
    <w:next w:val="1"/>
    <w:link w:val="48"/>
    <w:semiHidden/>
    <w:unhideWhenUsed/>
    <w:qFormat/>
    <w:uiPriority w:val="0"/>
    <w:pPr>
      <w:ind w:left="100" w:leftChars="2500"/>
    </w:pPr>
  </w:style>
  <w:style w:type="paragraph" w:styleId="13">
    <w:name w:val="Balloon Text"/>
    <w:basedOn w:val="1"/>
    <w:link w:val="47"/>
    <w:qFormat/>
    <w:uiPriority w:val="0"/>
    <w:pPr>
      <w:spacing w:line="240" w:lineRule="auto"/>
    </w:pPr>
    <w:rPr>
      <w:sz w:val="18"/>
      <w:szCs w:val="18"/>
    </w:rPr>
  </w:style>
  <w:style w:type="paragraph" w:styleId="14">
    <w:name w:val="footer"/>
    <w:basedOn w:val="1"/>
    <w:link w:val="31"/>
    <w:qFormat/>
    <w:uiPriority w:val="99"/>
    <w:pPr>
      <w:tabs>
        <w:tab w:val="center" w:pos="4153"/>
        <w:tab w:val="right" w:pos="8306"/>
      </w:tabs>
      <w:snapToGrid w:val="0"/>
      <w:jc w:val="left"/>
    </w:pPr>
    <w:rPr>
      <w:sz w:val="18"/>
    </w:rPr>
  </w:style>
  <w:style w:type="paragraph" w:styleId="15">
    <w:name w:val="header"/>
    <w:basedOn w:val="1"/>
    <w:link w:val="32"/>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cs="Times New Roman"/>
    </w:rPr>
  </w:style>
  <w:style w:type="paragraph" w:styleId="16">
    <w:name w:val="toc 1"/>
    <w:basedOn w:val="1"/>
    <w:next w:val="1"/>
    <w:uiPriority w:val="39"/>
    <w:pPr>
      <w:ind w:firstLine="0" w:firstLineChars="0"/>
    </w:pPr>
    <w:rPr>
      <w:rFonts w:eastAsia="宋体"/>
    </w:rPr>
  </w:style>
  <w:style w:type="paragraph" w:styleId="17">
    <w:name w:val="Body Text Indent 3"/>
    <w:basedOn w:val="1"/>
    <w:qFormat/>
    <w:uiPriority w:val="99"/>
    <w:pPr>
      <w:ind w:firstLine="585"/>
    </w:pPr>
    <w:rPr>
      <w:rFonts w:ascii="宋体" w:cs="宋体"/>
      <w:sz w:val="28"/>
      <w:szCs w:val="28"/>
    </w:rPr>
  </w:style>
  <w:style w:type="paragraph" w:styleId="18">
    <w:name w:val="toc 2"/>
    <w:basedOn w:val="1"/>
    <w:next w:val="1"/>
    <w:qFormat/>
    <w:uiPriority w:val="39"/>
  </w:style>
  <w:style w:type="paragraph" w:styleId="19">
    <w:name w:val="Normal (Web)"/>
    <w:basedOn w:val="1"/>
    <w:qFormat/>
    <w:uiPriority w:val="0"/>
    <w:pPr>
      <w:spacing w:beforeAutospacing="1" w:afterAutospacing="1"/>
      <w:jc w:val="left"/>
    </w:pPr>
    <w:rPr>
      <w:rFonts w:cs="Times New Roman"/>
      <w:kern w:val="0"/>
    </w:rPr>
  </w:style>
  <w:style w:type="paragraph" w:styleId="20">
    <w:name w:val="annotation subject"/>
    <w:basedOn w:val="8"/>
    <w:next w:val="8"/>
    <w:link w:val="45"/>
    <w:qFormat/>
    <w:uiPriority w:val="0"/>
    <w:rPr>
      <w:b/>
      <w:bCs/>
    </w:rPr>
  </w:style>
  <w:style w:type="paragraph" w:styleId="21">
    <w:name w:val="Body Text First Indent"/>
    <w:basedOn w:val="9"/>
    <w:uiPriority w:val="0"/>
    <w:pPr>
      <w:widowControl/>
      <w:spacing w:after="120"/>
      <w:ind w:firstLine="100" w:firstLineChars="100"/>
      <w:jc w:val="left"/>
    </w:pPr>
    <w:rPr>
      <w:kern w:val="0"/>
      <w:sz w:val="28"/>
      <w:szCs w:val="20"/>
    </w:rPr>
  </w:style>
  <w:style w:type="table" w:styleId="23">
    <w:name w:val="Table Grid"/>
    <w:basedOn w:val="2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basedOn w:val="24"/>
    <w:qFormat/>
    <w:uiPriority w:val="0"/>
    <w:rPr>
      <w:b/>
    </w:rPr>
  </w:style>
  <w:style w:type="character" w:styleId="26">
    <w:name w:val="page number"/>
    <w:basedOn w:val="24"/>
    <w:qFormat/>
    <w:uiPriority w:val="0"/>
  </w:style>
  <w:style w:type="character" w:styleId="27">
    <w:name w:val="FollowedHyperlink"/>
    <w:basedOn w:val="24"/>
    <w:qFormat/>
    <w:uiPriority w:val="0"/>
    <w:rPr>
      <w:color w:val="800080"/>
      <w:u w:val="none"/>
    </w:rPr>
  </w:style>
  <w:style w:type="character" w:styleId="28">
    <w:name w:val="Hyperlink"/>
    <w:basedOn w:val="24"/>
    <w:qFormat/>
    <w:uiPriority w:val="99"/>
    <w:rPr>
      <w:color w:val="0000FF"/>
      <w:u w:val="single"/>
    </w:rPr>
  </w:style>
  <w:style w:type="character" w:styleId="29">
    <w:name w:val="annotation reference"/>
    <w:basedOn w:val="24"/>
    <w:qFormat/>
    <w:uiPriority w:val="0"/>
    <w:rPr>
      <w:sz w:val="21"/>
      <w:szCs w:val="21"/>
    </w:rPr>
  </w:style>
  <w:style w:type="character" w:customStyle="1" w:styleId="30">
    <w:name w:val="批注文字 Char"/>
    <w:basedOn w:val="24"/>
    <w:link w:val="8"/>
    <w:qFormat/>
    <w:uiPriority w:val="0"/>
    <w:rPr>
      <w:rFonts w:ascii="Times New Roman" w:hAnsi="Times New Roman"/>
      <w:kern w:val="2"/>
      <w:sz w:val="24"/>
      <w:szCs w:val="24"/>
    </w:rPr>
  </w:style>
  <w:style w:type="character" w:customStyle="1" w:styleId="31">
    <w:name w:val="页脚 Char"/>
    <w:basedOn w:val="24"/>
    <w:link w:val="14"/>
    <w:qFormat/>
    <w:uiPriority w:val="99"/>
    <w:rPr>
      <w:rFonts w:ascii="Times New Roman" w:hAnsi="Times New Roman"/>
      <w:kern w:val="2"/>
      <w:sz w:val="18"/>
      <w:szCs w:val="24"/>
    </w:rPr>
  </w:style>
  <w:style w:type="character" w:customStyle="1" w:styleId="32">
    <w:name w:val="页眉 Char"/>
    <w:basedOn w:val="24"/>
    <w:link w:val="15"/>
    <w:qFormat/>
    <w:uiPriority w:val="99"/>
    <w:rPr>
      <w:rFonts w:ascii="Times New Roman" w:hAnsi="Times New Roman" w:cs="Times New Roman"/>
      <w:kern w:val="2"/>
      <w:sz w:val="24"/>
      <w:szCs w:val="24"/>
    </w:rPr>
  </w:style>
  <w:style w:type="paragraph" w:customStyle="1" w:styleId="33">
    <w:name w:val="_Style 36"/>
    <w:basedOn w:val="1"/>
    <w:qFormat/>
    <w:uiPriority w:val="0"/>
  </w:style>
  <w:style w:type="paragraph" w:customStyle="1" w:styleId="34">
    <w:name w:val="表格"/>
    <w:basedOn w:val="1"/>
    <w:qFormat/>
    <w:uiPriority w:val="0"/>
    <w:pPr>
      <w:snapToGrid w:val="0"/>
      <w:spacing w:line="240" w:lineRule="auto"/>
      <w:ind w:firstLine="0" w:firstLineChars="0"/>
      <w:jc w:val="center"/>
    </w:pPr>
    <w:rPr>
      <w:sz w:val="21"/>
    </w:rPr>
  </w:style>
  <w:style w:type="paragraph" w:customStyle="1" w:styleId="35">
    <w:name w:val="图表标题"/>
    <w:basedOn w:val="1"/>
    <w:qFormat/>
    <w:uiPriority w:val="99"/>
    <w:pPr>
      <w:widowControl/>
      <w:tabs>
        <w:tab w:val="left" w:pos="1134"/>
      </w:tabs>
      <w:spacing w:before="20" w:beforeLines="20" w:after="10" w:afterLines="10" w:line="240" w:lineRule="auto"/>
      <w:ind w:firstLine="0" w:firstLineChars="0"/>
      <w:jc w:val="center"/>
    </w:pPr>
    <w:rPr>
      <w:rFonts w:cs="Times New Roman"/>
      <w:b/>
      <w:sz w:val="21"/>
      <w:szCs w:val="32"/>
    </w:rPr>
  </w:style>
  <w:style w:type="paragraph" w:customStyle="1" w:styleId="36">
    <w:name w:val="Table Paragraph"/>
    <w:basedOn w:val="1"/>
    <w:qFormat/>
    <w:uiPriority w:val="1"/>
    <w:pPr>
      <w:autoSpaceDE w:val="0"/>
      <w:autoSpaceDN w:val="0"/>
      <w:adjustRightInd w:val="0"/>
      <w:jc w:val="left"/>
    </w:pPr>
    <w:rPr>
      <w:rFonts w:cs="Times New Roman"/>
      <w:kern w:val="0"/>
    </w:rPr>
  </w:style>
  <w:style w:type="paragraph" w:customStyle="1" w:styleId="37">
    <w:name w:val="五号表格"/>
    <w:basedOn w:val="1"/>
    <w:qFormat/>
    <w:uiPriority w:val="0"/>
    <w:pPr>
      <w:jc w:val="center"/>
    </w:pPr>
    <w:rPr>
      <w:kern w:val="0"/>
      <w:szCs w:val="20"/>
    </w:rPr>
  </w:style>
  <w:style w:type="paragraph" w:customStyle="1" w:styleId="38">
    <w:name w:val="正文01"/>
    <w:basedOn w:val="39"/>
    <w:qFormat/>
    <w:uiPriority w:val="99"/>
    <w:pPr>
      <w:spacing w:before="62" w:after="31"/>
    </w:pPr>
  </w:style>
  <w:style w:type="paragraph" w:customStyle="1" w:styleId="39">
    <w:name w:val="表标题"/>
    <w:basedOn w:val="1"/>
    <w:next w:val="1"/>
    <w:qFormat/>
    <w:uiPriority w:val="0"/>
    <w:pPr>
      <w:spacing w:before="20" w:beforeLines="20" w:after="10" w:afterLines="10" w:line="240" w:lineRule="auto"/>
      <w:ind w:firstLine="0" w:firstLineChars="0"/>
      <w:jc w:val="center"/>
    </w:pPr>
    <w:rPr>
      <w:rFonts w:cs="Times New Roman"/>
      <w:b/>
      <w:bCs/>
      <w:color w:val="000000" w:themeColor="text1"/>
      <w:sz w:val="21"/>
      <w:szCs w:val="36"/>
      <w14:textFill>
        <w14:solidFill>
          <w14:schemeClr w14:val="tx1"/>
        </w14:solidFill>
      </w14:textFill>
    </w:rPr>
  </w:style>
  <w:style w:type="character" w:customStyle="1" w:styleId="40">
    <w:name w:val="font21"/>
    <w:basedOn w:val="24"/>
    <w:qFormat/>
    <w:uiPriority w:val="0"/>
    <w:rPr>
      <w:rFonts w:hint="eastAsia" w:ascii="宋体" w:hAnsi="宋体" w:eastAsia="宋体" w:cs="宋体"/>
      <w:color w:val="000000"/>
      <w:sz w:val="24"/>
      <w:szCs w:val="24"/>
      <w:u w:val="none"/>
    </w:rPr>
  </w:style>
  <w:style w:type="paragraph" w:customStyle="1" w:styleId="41">
    <w:name w:val="p0"/>
    <w:basedOn w:val="1"/>
    <w:qFormat/>
    <w:uiPriority w:val="0"/>
    <w:pPr>
      <w:spacing w:line="240" w:lineRule="auto"/>
      <w:ind w:firstLine="0" w:firstLineChars="0"/>
    </w:pPr>
    <w:rPr>
      <w:sz w:val="28"/>
      <w:szCs w:val="28"/>
    </w:rPr>
  </w:style>
  <w:style w:type="character" w:customStyle="1" w:styleId="42">
    <w:name w:val="表格格式 Char"/>
    <w:link w:val="43"/>
    <w:qFormat/>
    <w:uiPriority w:val="0"/>
    <w:rPr>
      <w:rFonts w:ascii="Times New Roman" w:hAnsi="Times New Roman"/>
      <w:color w:val="000000"/>
      <w:sz w:val="21"/>
      <w:szCs w:val="21"/>
    </w:rPr>
  </w:style>
  <w:style w:type="paragraph" w:customStyle="1" w:styleId="43">
    <w:name w:val="表格格式"/>
    <w:basedOn w:val="1"/>
    <w:next w:val="1"/>
    <w:link w:val="42"/>
    <w:qFormat/>
    <w:uiPriority w:val="0"/>
    <w:pPr>
      <w:widowControl/>
      <w:spacing w:line="240" w:lineRule="auto"/>
      <w:ind w:firstLine="0" w:firstLineChars="0"/>
      <w:jc w:val="center"/>
    </w:pPr>
    <w:rPr>
      <w:color w:val="000000"/>
      <w:kern w:val="0"/>
      <w:sz w:val="21"/>
      <w:szCs w:val="21"/>
    </w:rPr>
  </w:style>
  <w:style w:type="paragraph" w:customStyle="1" w:styleId="44">
    <w:name w:val="表格内样式"/>
    <w:basedOn w:val="38"/>
    <w:qFormat/>
    <w:uiPriority w:val="1"/>
    <w:pPr>
      <w:spacing w:before="0" w:beforeLines="0" w:after="0" w:afterLines="0"/>
    </w:pPr>
    <w:rPr>
      <w:b w:val="0"/>
    </w:rPr>
  </w:style>
  <w:style w:type="character" w:customStyle="1" w:styleId="45">
    <w:name w:val="批注主题 Char"/>
    <w:basedOn w:val="30"/>
    <w:link w:val="20"/>
    <w:qFormat/>
    <w:uiPriority w:val="0"/>
    <w:rPr>
      <w:rFonts w:ascii="Times New Roman" w:hAnsi="Times New Roman" w:eastAsiaTheme="minorEastAsia" w:cstheme="minorBidi"/>
      <w:b/>
      <w:bCs/>
      <w:kern w:val="2"/>
      <w:sz w:val="24"/>
      <w:szCs w:val="24"/>
    </w:rPr>
  </w:style>
  <w:style w:type="paragraph" w:styleId="46">
    <w:name w:val="No Spacing"/>
    <w:qFormat/>
    <w:uiPriority w:val="0"/>
    <w:pPr>
      <w:widowControl w:val="0"/>
      <w:ind w:firstLine="200" w:firstLineChars="200"/>
      <w:jc w:val="both"/>
    </w:pPr>
    <w:rPr>
      <w:rFonts w:ascii="Times New Roman" w:hAnsi="Times New Roman" w:eastAsia="宋体" w:cs="Times New Roman"/>
      <w:kern w:val="2"/>
      <w:sz w:val="24"/>
      <w:lang w:val="en-US" w:eastAsia="zh-CN" w:bidi="ar-SA"/>
    </w:rPr>
  </w:style>
  <w:style w:type="character" w:customStyle="1" w:styleId="47">
    <w:name w:val="批注框文本 Char"/>
    <w:basedOn w:val="24"/>
    <w:link w:val="13"/>
    <w:qFormat/>
    <w:uiPriority w:val="0"/>
    <w:rPr>
      <w:rFonts w:eastAsiaTheme="minorEastAsia" w:cstheme="minorBidi"/>
      <w:kern w:val="2"/>
      <w:sz w:val="18"/>
      <w:szCs w:val="18"/>
    </w:rPr>
  </w:style>
  <w:style w:type="character" w:customStyle="1" w:styleId="48">
    <w:name w:val="日期 Char"/>
    <w:basedOn w:val="24"/>
    <w:link w:val="12"/>
    <w:semiHidden/>
    <w:qFormat/>
    <w:uiPriority w:val="0"/>
    <w:rPr>
      <w:rFonts w:eastAsiaTheme="minorEastAsia" w:cstheme="minorBidi"/>
      <w:kern w:val="2"/>
      <w:sz w:val="24"/>
      <w:szCs w:val="24"/>
    </w:rPr>
  </w:style>
  <w:style w:type="paragraph" w:customStyle="1" w:styleId="49">
    <w:name w:val="1"/>
    <w:basedOn w:val="1"/>
    <w:qFormat/>
    <w:uiPriority w:val="0"/>
    <w:pPr>
      <w:spacing w:line="240" w:lineRule="auto"/>
      <w:ind w:firstLine="0" w:firstLineChars="0"/>
    </w:pPr>
    <w:rPr>
      <w:rFonts w:eastAsia="宋体" w:cs="Times New Roman"/>
      <w:sz w:val="21"/>
    </w:rPr>
  </w:style>
  <w:style w:type="paragraph" w:styleId="50">
    <w:name w:val="List Paragraph"/>
    <w:basedOn w:val="1"/>
    <w:qFormat/>
    <w:uiPriority w:val="99"/>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7" Type="http://schemas.openxmlformats.org/officeDocument/2006/relationships/fontTable" Target="fontTable.xml"/><Relationship Id="rId76" Type="http://schemas.openxmlformats.org/officeDocument/2006/relationships/customXml" Target="../customXml/item2.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48.png"/><Relationship Id="rId72" Type="http://schemas.openxmlformats.org/officeDocument/2006/relationships/image" Target="media/image47.png"/><Relationship Id="rId71" Type="http://schemas.openxmlformats.org/officeDocument/2006/relationships/image" Target="media/image46.png"/><Relationship Id="rId70" Type="http://schemas.openxmlformats.org/officeDocument/2006/relationships/image" Target="media/image45.png"/><Relationship Id="rId7" Type="http://schemas.openxmlformats.org/officeDocument/2006/relationships/header" Target="header3.xml"/><Relationship Id="rId69" Type="http://schemas.openxmlformats.org/officeDocument/2006/relationships/image" Target="media/image44.png"/><Relationship Id="rId68" Type="http://schemas.openxmlformats.org/officeDocument/2006/relationships/image" Target="media/image43.png"/><Relationship Id="rId67" Type="http://schemas.openxmlformats.org/officeDocument/2006/relationships/image" Target="media/image42.png"/><Relationship Id="rId66" Type="http://schemas.openxmlformats.org/officeDocument/2006/relationships/image" Target="media/image41.png"/><Relationship Id="rId65" Type="http://schemas.openxmlformats.org/officeDocument/2006/relationships/image" Target="media/image40.png"/><Relationship Id="rId64" Type="http://schemas.openxmlformats.org/officeDocument/2006/relationships/image" Target="media/image39.png"/><Relationship Id="rId63" Type="http://schemas.openxmlformats.org/officeDocument/2006/relationships/image" Target="media/image38.png"/><Relationship Id="rId62" Type="http://schemas.openxmlformats.org/officeDocument/2006/relationships/image" Target="media/image37.png"/><Relationship Id="rId61" Type="http://schemas.openxmlformats.org/officeDocument/2006/relationships/image" Target="media/image36.png"/><Relationship Id="rId60" Type="http://schemas.openxmlformats.org/officeDocument/2006/relationships/image" Target="media/image35.png"/><Relationship Id="rId6" Type="http://schemas.openxmlformats.org/officeDocument/2006/relationships/header" Target="header2.xml"/><Relationship Id="rId59" Type="http://schemas.openxmlformats.org/officeDocument/2006/relationships/image" Target="media/image34.png"/><Relationship Id="rId58" Type="http://schemas.openxmlformats.org/officeDocument/2006/relationships/image" Target="media/image33.png"/><Relationship Id="rId57" Type="http://schemas.openxmlformats.org/officeDocument/2006/relationships/image" Target="media/image32.png"/><Relationship Id="rId56" Type="http://schemas.openxmlformats.org/officeDocument/2006/relationships/image" Target="media/image31.png"/><Relationship Id="rId55" Type="http://schemas.openxmlformats.org/officeDocument/2006/relationships/image" Target="media/image30.png"/><Relationship Id="rId54" Type="http://schemas.openxmlformats.org/officeDocument/2006/relationships/image" Target="media/image29.png"/><Relationship Id="rId53" Type="http://schemas.openxmlformats.org/officeDocument/2006/relationships/image" Target="media/image28.png"/><Relationship Id="rId52" Type="http://schemas.openxmlformats.org/officeDocument/2006/relationships/image" Target="media/image27.png"/><Relationship Id="rId51" Type="http://schemas.openxmlformats.org/officeDocument/2006/relationships/image" Target="media/image26.png"/><Relationship Id="rId50" Type="http://schemas.openxmlformats.org/officeDocument/2006/relationships/image" Target="media/image25.png"/><Relationship Id="rId5" Type="http://schemas.openxmlformats.org/officeDocument/2006/relationships/header" Target="header1.xml"/><Relationship Id="rId49" Type="http://schemas.openxmlformats.org/officeDocument/2006/relationships/image" Target="media/image24.pn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pn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endnotes" Target="endnotes.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footnotes" Target="footnotes.xml"/><Relationship Id="rId29" Type="http://schemas.openxmlformats.org/officeDocument/2006/relationships/image" Target="media/image4.png"/><Relationship Id="rId28" Type="http://schemas.openxmlformats.org/officeDocument/2006/relationships/image" Target="media/image3.png"/><Relationship Id="rId27" Type="http://schemas.openxmlformats.org/officeDocument/2006/relationships/image" Target="media/image2.pn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91DCBE7-7B59-40C5-8B4C-BD58146BEEB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85</Pages>
  <Words>27960</Words>
  <Characters>35571</Characters>
  <Lines>293</Lines>
  <Paragraphs>82</Paragraphs>
  <TotalTime>3</TotalTime>
  <ScaleCrop>false</ScaleCrop>
  <LinksUpToDate>false</LinksUpToDate>
  <CharactersWithSpaces>36156</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2021-09-13T03:38:00Z</dcterms:created>
  <dc:creator>2017</dc:creator>
  <cp:lastModifiedBy>Administrator</cp:lastModifiedBy>
  <cp:lastPrinted>2021-10-26T09:33:00Z</cp:lastPrinted>
  <dcterms:modified xsi:type="dcterms:W3CDTF">2022-12-26T04:54:16Z</dcterms:modified>
  <cp:revision>225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8F559A49C1D5447AAF6FCD7F73FB06BD</vt:lpwstr>
  </property>
</Properties>
</file>